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44772" w14:textId="4F9A4CEB" w:rsidR="00760352" w:rsidRPr="00477FA4" w:rsidRDefault="007C59C4" w:rsidP="001614BC">
      <w:pPr>
        <w:spacing w:after="0" w:line="240" w:lineRule="auto"/>
        <w:jc w:val="center"/>
        <w:rPr>
          <w:rFonts w:ascii="Roboto" w:eastAsia="Times New Roman" w:hAnsi="Roboto" w:cs="Times New Roman"/>
          <w:b/>
          <w:bCs/>
          <w:sz w:val="24"/>
          <w:szCs w:val="24"/>
          <w:lang w:val="ro-MD"/>
        </w:rPr>
      </w:pPr>
      <w:r w:rsidRPr="00477FA4">
        <w:rPr>
          <w:rFonts w:ascii="Roboto" w:eastAsia="Times New Roman" w:hAnsi="Roboto" w:cs="Times New Roman"/>
          <w:b/>
          <w:bCs/>
          <w:sz w:val="24"/>
          <w:szCs w:val="24"/>
          <w:lang w:val="ro-MD"/>
        </w:rPr>
        <w:t>NOT</w:t>
      </w:r>
      <w:r w:rsidR="00D92AD6" w:rsidRPr="00477FA4">
        <w:rPr>
          <w:rFonts w:ascii="Roboto" w:eastAsia="Times New Roman" w:hAnsi="Roboto" w:cs="Times New Roman"/>
          <w:b/>
          <w:bCs/>
          <w:sz w:val="24"/>
          <w:szCs w:val="24"/>
          <w:lang w:val="ro-MD"/>
        </w:rPr>
        <w:t xml:space="preserve">A </w:t>
      </w:r>
      <w:r w:rsidR="002C4B8B" w:rsidRPr="00477FA4">
        <w:rPr>
          <w:rFonts w:ascii="Roboto" w:eastAsia="Times New Roman" w:hAnsi="Roboto" w:cs="Times New Roman"/>
          <w:b/>
          <w:bCs/>
          <w:sz w:val="24"/>
          <w:szCs w:val="24"/>
          <w:lang w:val="ro-MD"/>
        </w:rPr>
        <w:t>DE FUNDAMENTARE</w:t>
      </w:r>
      <w:r w:rsidR="00E41CDC" w:rsidRPr="00477FA4">
        <w:rPr>
          <w:rFonts w:ascii="Roboto" w:eastAsia="Times New Roman" w:hAnsi="Roboto" w:cs="Times New Roman"/>
          <w:sz w:val="24"/>
          <w:szCs w:val="24"/>
          <w:lang w:val="ro-MD"/>
        </w:rPr>
        <w:br/>
      </w:r>
      <w:bookmarkStart w:id="0" w:name="_Hlk114227680"/>
      <w:r w:rsidR="00E41CDC" w:rsidRPr="00477FA4">
        <w:rPr>
          <w:rFonts w:ascii="Roboto" w:eastAsia="Times New Roman" w:hAnsi="Roboto" w:cs="Times New Roman"/>
          <w:b/>
          <w:bCs/>
          <w:sz w:val="24"/>
          <w:szCs w:val="24"/>
          <w:lang w:val="ro-MD"/>
        </w:rPr>
        <w:t xml:space="preserve">la </w:t>
      </w:r>
      <w:bookmarkStart w:id="1" w:name="_Hlk178088427"/>
      <w:r w:rsidR="00E41CDC" w:rsidRPr="00477FA4">
        <w:rPr>
          <w:rFonts w:ascii="Roboto" w:eastAsia="Times New Roman" w:hAnsi="Roboto" w:cs="Times New Roman"/>
          <w:b/>
          <w:bCs/>
          <w:sz w:val="24"/>
          <w:szCs w:val="24"/>
          <w:lang w:val="ro-MD"/>
        </w:rPr>
        <w:t>proiectul Hotărârii Comitetului executiv al Băncii Naționale a Moldovei</w:t>
      </w:r>
    </w:p>
    <w:p w14:paraId="76A5BE72" w14:textId="7D4ABBD6" w:rsidR="00E41CDC" w:rsidRPr="00477FA4" w:rsidRDefault="00760352" w:rsidP="001614BC">
      <w:pPr>
        <w:spacing w:after="0" w:line="240" w:lineRule="auto"/>
        <w:ind w:firstLine="360"/>
        <w:jc w:val="center"/>
        <w:rPr>
          <w:rFonts w:ascii="Roboto" w:eastAsia="Times New Roman" w:hAnsi="Roboto" w:cs="Times New Roman"/>
          <w:b/>
          <w:bCs/>
          <w:sz w:val="24"/>
          <w:szCs w:val="24"/>
          <w:lang w:val="ro-RO"/>
        </w:rPr>
      </w:pPr>
      <w:r w:rsidRPr="00477FA4">
        <w:rPr>
          <w:rFonts w:ascii="Roboto" w:eastAsia="Times New Roman" w:hAnsi="Roboto" w:cs="Times New Roman"/>
          <w:b/>
          <w:bCs/>
          <w:sz w:val="24"/>
          <w:szCs w:val="24"/>
          <w:lang w:val="ro-MD"/>
        </w:rPr>
        <w:t>„</w:t>
      </w:r>
      <w:r w:rsidR="006F6957" w:rsidRPr="00477FA4">
        <w:rPr>
          <w:rFonts w:ascii="Roboto" w:eastAsia="Times New Roman" w:hAnsi="Roboto" w:cs="Times New Roman"/>
          <w:b/>
          <w:bCs/>
          <w:sz w:val="24"/>
          <w:szCs w:val="24"/>
          <w:lang w:val="ro-MD"/>
        </w:rPr>
        <w:t xml:space="preserve">Pentru </w:t>
      </w:r>
      <w:r w:rsidR="00495A1E" w:rsidRPr="00477FA4">
        <w:rPr>
          <w:rFonts w:ascii="Roboto" w:eastAsia="Times New Roman" w:hAnsi="Roboto" w:cs="Times New Roman"/>
          <w:b/>
          <w:bCs/>
          <w:sz w:val="24"/>
          <w:szCs w:val="24"/>
          <w:lang w:val="ro-MD"/>
        </w:rPr>
        <w:t>aprobarea Regulamentului privind nivelul de aplicare a cerin</w:t>
      </w:r>
      <w:r w:rsidR="00495A1E" w:rsidRPr="00477FA4">
        <w:rPr>
          <w:rFonts w:ascii="Roboto" w:eastAsia="Times New Roman" w:hAnsi="Roboto" w:cs="Times New Roman"/>
          <w:b/>
          <w:bCs/>
          <w:sz w:val="24"/>
          <w:szCs w:val="24"/>
          <w:lang w:val="ro-RO"/>
        </w:rPr>
        <w:t xml:space="preserve">țelor prudențiale și abrogarea </w:t>
      </w:r>
      <w:r w:rsidR="00495A1E" w:rsidRPr="00477FA4">
        <w:rPr>
          <w:rFonts w:ascii="Roboto" w:eastAsia="Times New Roman" w:hAnsi="Roboto" w:cs="Times New Roman"/>
          <w:b/>
          <w:bCs/>
          <w:sz w:val="24"/>
          <w:szCs w:val="24"/>
          <w:lang w:val="ro-MD"/>
        </w:rPr>
        <w:t>Hotărârii Comitetului executiv al Băncii Naționale a Moldovei pentru aprobarea</w:t>
      </w:r>
      <w:r w:rsidR="00495A1E" w:rsidRPr="00477FA4">
        <w:rPr>
          <w:rFonts w:ascii="Roboto" w:eastAsia="Times New Roman" w:hAnsi="Roboto" w:cs="Times New Roman"/>
          <w:b/>
          <w:bCs/>
          <w:sz w:val="24"/>
          <w:szCs w:val="24"/>
          <w:lang w:val="ro-RO"/>
        </w:rPr>
        <w:t xml:space="preserve"> Regulamentului cu privire la supravegherea  </w:t>
      </w:r>
      <w:r w:rsidR="009C03A0" w:rsidRPr="00477FA4">
        <w:rPr>
          <w:rFonts w:ascii="Roboto" w:eastAsia="Times New Roman" w:hAnsi="Roboto" w:cs="Times New Roman"/>
          <w:b/>
          <w:bCs/>
          <w:sz w:val="24"/>
          <w:szCs w:val="24"/>
          <w:lang w:val="ro-RO"/>
        </w:rPr>
        <w:t xml:space="preserve">pe bază consolidată a băncilor </w:t>
      </w:r>
      <w:r w:rsidR="00495A1E" w:rsidRPr="00477FA4">
        <w:rPr>
          <w:rFonts w:ascii="Roboto" w:eastAsia="Times New Roman" w:hAnsi="Roboto" w:cs="Times New Roman"/>
          <w:b/>
          <w:bCs/>
          <w:sz w:val="24"/>
          <w:szCs w:val="24"/>
          <w:lang w:val="ro-RO"/>
        </w:rPr>
        <w:t>nr. 101/2020</w:t>
      </w:r>
      <w:bookmarkEnd w:id="1"/>
      <w:r w:rsidRPr="00477FA4">
        <w:rPr>
          <w:rFonts w:ascii="Roboto" w:eastAsia="Times New Roman" w:hAnsi="Roboto" w:cs="Times New Roman"/>
          <w:b/>
          <w:bCs/>
          <w:sz w:val="24"/>
          <w:szCs w:val="24"/>
          <w:lang w:val="ro-MD"/>
        </w:rPr>
        <w:t>”</w:t>
      </w:r>
      <w:bookmarkEnd w:id="0"/>
      <w:r w:rsidR="00E41CDC" w:rsidRPr="00477FA4">
        <w:rPr>
          <w:rFonts w:ascii="Roboto" w:eastAsia="Times New Roman" w:hAnsi="Roboto" w:cs="Times New Roman"/>
          <w:b/>
          <w:bCs/>
          <w:sz w:val="24"/>
          <w:szCs w:val="24"/>
          <w:lang w:val="ro-MD"/>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70"/>
      </w:tblGrid>
      <w:tr w:rsidR="00E41CDC" w:rsidRPr="00477FA4" w14:paraId="335BF0F0" w14:textId="77777777" w:rsidTr="00F058D1">
        <w:tc>
          <w:tcPr>
            <w:tcW w:w="5000" w:type="pct"/>
            <w:shd w:val="clear" w:color="auto" w:fill="AEAAAA" w:themeFill="background2" w:themeFillShade="BF"/>
          </w:tcPr>
          <w:p w14:paraId="4F881A0B" w14:textId="1BEED7C9" w:rsidR="00E41CDC" w:rsidRPr="00477FA4" w:rsidRDefault="002C4B8B" w:rsidP="00A34E60">
            <w:pPr>
              <w:tabs>
                <w:tab w:val="left" w:pos="284"/>
                <w:tab w:val="left" w:pos="1196"/>
              </w:tabs>
              <w:spacing w:after="0" w:line="240" w:lineRule="auto"/>
              <w:ind w:firstLine="284"/>
              <w:jc w:val="both"/>
              <w:rPr>
                <w:rFonts w:ascii="Roboto" w:hAnsi="Roboto" w:cs="Times New Roman"/>
                <w:b/>
                <w:sz w:val="24"/>
                <w:szCs w:val="24"/>
                <w:lang w:val="ro-MD"/>
              </w:rPr>
            </w:pPr>
            <w:r w:rsidRPr="00477FA4">
              <w:rPr>
                <w:rFonts w:ascii="Roboto" w:hAnsi="Roboto" w:cs="Times New Roman"/>
                <w:b/>
                <w:sz w:val="24"/>
                <w:szCs w:val="24"/>
                <w:lang w:val="ro-MD"/>
              </w:rPr>
              <w:t>1. Denumirea sau numele autorului și, după caz, a/al participanților la elaborarea proiectului actului normativ</w:t>
            </w:r>
          </w:p>
        </w:tc>
      </w:tr>
      <w:tr w:rsidR="00E41CDC" w:rsidRPr="00477FA4" w14:paraId="7BED7535" w14:textId="77777777" w:rsidTr="00F058D1">
        <w:tc>
          <w:tcPr>
            <w:tcW w:w="5000" w:type="pct"/>
            <w:shd w:val="clear" w:color="auto" w:fill="auto"/>
          </w:tcPr>
          <w:p w14:paraId="6936F1F7" w14:textId="3ED1108F" w:rsidR="00E41CDC" w:rsidRPr="00477FA4" w:rsidRDefault="00990506" w:rsidP="00A34E60">
            <w:pPr>
              <w:spacing w:after="0" w:line="240" w:lineRule="auto"/>
              <w:jc w:val="both"/>
              <w:rPr>
                <w:rFonts w:ascii="Roboto" w:eastAsia="Times New Roman" w:hAnsi="Roboto" w:cs="Times New Roman"/>
                <w:color w:val="000000" w:themeColor="text1"/>
                <w:sz w:val="24"/>
                <w:szCs w:val="24"/>
                <w:lang w:val="ro-MD"/>
              </w:rPr>
            </w:pPr>
            <w:r w:rsidRPr="00477FA4">
              <w:rPr>
                <w:rFonts w:ascii="Roboto" w:eastAsia="Calibri Light" w:hAnsi="Roboto" w:cs="Times New Roman"/>
                <w:sz w:val="24"/>
                <w:szCs w:val="24"/>
                <w:lang w:val="ro-MD"/>
              </w:rPr>
              <w:t>Autorul proiectului actului normativ este Banca Națională a Moldovei (BNM).</w:t>
            </w:r>
          </w:p>
        </w:tc>
      </w:tr>
      <w:tr w:rsidR="00E41CDC" w:rsidRPr="00477FA4" w14:paraId="72E7BFFA" w14:textId="77777777" w:rsidTr="00F058D1">
        <w:tc>
          <w:tcPr>
            <w:tcW w:w="5000" w:type="pct"/>
            <w:shd w:val="clear" w:color="auto" w:fill="AEAAAA" w:themeFill="background2" w:themeFillShade="BF"/>
          </w:tcPr>
          <w:p w14:paraId="5FB66258" w14:textId="4099BDBA" w:rsidR="00E41CDC" w:rsidRPr="00477FA4" w:rsidRDefault="00E41CDC" w:rsidP="00A34E60">
            <w:pPr>
              <w:tabs>
                <w:tab w:val="left" w:pos="884"/>
                <w:tab w:val="left" w:pos="1196"/>
              </w:tabs>
              <w:spacing w:after="0" w:line="240" w:lineRule="auto"/>
              <w:ind w:firstLine="284"/>
              <w:jc w:val="both"/>
              <w:rPr>
                <w:rFonts w:ascii="Roboto" w:hAnsi="Roboto" w:cs="Times New Roman"/>
                <w:b/>
                <w:sz w:val="24"/>
                <w:szCs w:val="24"/>
                <w:lang w:val="ro-MD"/>
              </w:rPr>
            </w:pPr>
            <w:r w:rsidRPr="00477FA4">
              <w:rPr>
                <w:rFonts w:ascii="Roboto" w:hAnsi="Roboto" w:cs="Times New Roman"/>
                <w:b/>
                <w:sz w:val="24"/>
                <w:szCs w:val="24"/>
                <w:lang w:val="ro-MD"/>
              </w:rPr>
              <w:t xml:space="preserve">2. Condițiile ce au impus elaborarea proiectului de act normativ </w:t>
            </w:r>
          </w:p>
        </w:tc>
      </w:tr>
      <w:tr w:rsidR="002C4B8B" w:rsidRPr="00477FA4" w14:paraId="19F2ED8B" w14:textId="77777777" w:rsidTr="00F058D1">
        <w:tc>
          <w:tcPr>
            <w:tcW w:w="5000" w:type="pct"/>
            <w:shd w:val="clear" w:color="auto" w:fill="E7E6E6" w:themeFill="background2"/>
          </w:tcPr>
          <w:p w14:paraId="42BE4F3F" w14:textId="48F18ABC" w:rsidR="002C4B8B" w:rsidRPr="00477FA4" w:rsidRDefault="002C4B8B" w:rsidP="00A34E60">
            <w:pPr>
              <w:tabs>
                <w:tab w:val="left" w:pos="884"/>
                <w:tab w:val="left" w:pos="1196"/>
              </w:tabs>
              <w:spacing w:after="0" w:line="240" w:lineRule="auto"/>
              <w:ind w:firstLine="284"/>
              <w:jc w:val="both"/>
              <w:rPr>
                <w:rFonts w:ascii="Roboto" w:hAnsi="Roboto" w:cs="Times New Roman"/>
                <w:b/>
                <w:sz w:val="24"/>
                <w:szCs w:val="24"/>
                <w:lang w:val="pt-BR"/>
              </w:rPr>
            </w:pPr>
            <w:r w:rsidRPr="00477FA4">
              <w:rPr>
                <w:rFonts w:ascii="Roboto" w:eastAsia="Times New Roman" w:hAnsi="Roboto" w:cs="Times New Roman"/>
                <w:sz w:val="24"/>
                <w:szCs w:val="24"/>
                <w:lang w:val="ro-MD"/>
              </w:rPr>
              <w:t>2.1. Temeiul legal sau, după caz, sursa proiectului actului normativ</w:t>
            </w:r>
          </w:p>
        </w:tc>
      </w:tr>
      <w:tr w:rsidR="00E41CDC" w:rsidRPr="00477FA4" w14:paraId="2067E509" w14:textId="77777777" w:rsidTr="00F058D1">
        <w:tc>
          <w:tcPr>
            <w:tcW w:w="5000" w:type="pct"/>
            <w:shd w:val="clear" w:color="auto" w:fill="auto"/>
          </w:tcPr>
          <w:p w14:paraId="3D848826" w14:textId="59E7D8F7" w:rsidR="004912A5" w:rsidRPr="00477FA4" w:rsidRDefault="001022E8"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Proiectul Hotărârii Comitetului executiv al Băncii Naționale a Moldovei</w:t>
            </w:r>
            <w:r w:rsidR="009C03A0" w:rsidRPr="00477FA4">
              <w:rPr>
                <w:rFonts w:ascii="Roboto" w:hAnsi="Roboto"/>
                <w:lang w:val="ro-MD"/>
              </w:rPr>
              <w:t xml:space="preserve"> </w:t>
            </w:r>
            <w:r w:rsidRPr="00477FA4">
              <w:rPr>
                <w:rFonts w:ascii="Roboto" w:hAnsi="Roboto"/>
                <w:lang w:val="ro-MD"/>
              </w:rPr>
              <w:t>„</w:t>
            </w:r>
            <w:r w:rsidR="009C03A0" w:rsidRPr="00477FA4">
              <w:rPr>
                <w:rFonts w:ascii="Roboto" w:hAnsi="Roboto"/>
                <w:lang w:val="ro-MD"/>
              </w:rPr>
              <w:t>Pentru aprobarea Regulamentului privind nivelul de aplicare a cerințelor prudențiale și abrogarea Hotărârii Comitetului executiv al Băncii Naționale a Moldovei pentru aprobarea Regulamentului cu privire la supravegherea  pe bază consolidată a băncilor nr. 101/2020</w:t>
            </w:r>
            <w:r w:rsidRPr="00477FA4">
              <w:rPr>
                <w:rFonts w:ascii="Roboto" w:hAnsi="Roboto"/>
                <w:lang w:val="ro-MD"/>
              </w:rPr>
              <w:t>” (în continuare</w:t>
            </w:r>
            <w:r w:rsidR="0011478E" w:rsidRPr="00477FA4">
              <w:rPr>
                <w:rFonts w:ascii="Roboto" w:hAnsi="Roboto"/>
                <w:lang w:val="ro-MD"/>
              </w:rPr>
              <w:t xml:space="preserve"> - </w:t>
            </w:r>
            <w:r w:rsidRPr="00477FA4">
              <w:rPr>
                <w:rFonts w:ascii="Roboto" w:hAnsi="Roboto"/>
                <w:lang w:val="ro-MD"/>
              </w:rPr>
              <w:t xml:space="preserve">proiectul hotărârii) </w:t>
            </w:r>
            <w:r w:rsidR="009C03A0" w:rsidRPr="00477FA4">
              <w:rPr>
                <w:rFonts w:ascii="Roboto" w:hAnsi="Roboto"/>
                <w:lang w:val="ro-MD"/>
              </w:rPr>
              <w:t xml:space="preserve">este </w:t>
            </w:r>
            <w:r w:rsidRPr="00477FA4">
              <w:rPr>
                <w:rFonts w:ascii="Roboto" w:hAnsi="Roboto"/>
                <w:lang w:val="ro-MD"/>
              </w:rPr>
              <w:t>elaborat în</w:t>
            </w:r>
            <w:r w:rsidR="009C03A0" w:rsidRPr="00477FA4">
              <w:rPr>
                <w:rFonts w:ascii="Roboto" w:hAnsi="Roboto"/>
                <w:lang w:val="ro-MD"/>
              </w:rPr>
              <w:t xml:space="preserve"> temeiul art. 59</w:t>
            </w:r>
            <w:r w:rsidR="005D1978" w:rsidRPr="00477FA4">
              <w:rPr>
                <w:rFonts w:ascii="Roboto" w:hAnsi="Roboto"/>
                <w:lang w:val="ro-MD"/>
              </w:rPr>
              <w:t xml:space="preserve"> alin.(1), art. 116</w:t>
            </w:r>
            <w:r w:rsidR="009C03A0" w:rsidRPr="00477FA4">
              <w:rPr>
                <w:rFonts w:ascii="Roboto" w:hAnsi="Roboto"/>
                <w:lang w:val="ro-MD"/>
              </w:rPr>
              <w:t xml:space="preserve"> </w:t>
            </w:r>
            <w:r w:rsidR="005D1978" w:rsidRPr="00477FA4">
              <w:rPr>
                <w:rFonts w:ascii="Roboto" w:hAnsi="Roboto"/>
                <w:lang w:val="ro-RO"/>
              </w:rPr>
              <w:t xml:space="preserve">și art. 121 </w:t>
            </w:r>
            <w:r w:rsidR="009C03A0" w:rsidRPr="00477FA4">
              <w:rPr>
                <w:rFonts w:ascii="Roboto" w:hAnsi="Roboto"/>
                <w:lang w:val="ro-MD"/>
              </w:rPr>
              <w:t xml:space="preserve">din Legea nr. 202/2017 privind activitatea băncilor </w:t>
            </w:r>
            <w:r w:rsidR="000B5627" w:rsidRPr="00477FA4">
              <w:rPr>
                <w:rFonts w:ascii="Roboto" w:hAnsi="Roboto"/>
                <w:lang w:val="ro-RO"/>
              </w:rPr>
              <w:t>și în scopul</w:t>
            </w:r>
            <w:r w:rsidR="00E06C2E" w:rsidRPr="00477FA4">
              <w:rPr>
                <w:rFonts w:ascii="Roboto" w:hAnsi="Roboto"/>
                <w:lang w:val="ro-MD"/>
              </w:rPr>
              <w:t xml:space="preserve"> transpune</w:t>
            </w:r>
            <w:r w:rsidR="000B5627" w:rsidRPr="00477FA4">
              <w:rPr>
                <w:rFonts w:ascii="Roboto" w:hAnsi="Roboto"/>
                <w:lang w:val="ro-MD"/>
              </w:rPr>
              <w:t>ri</w:t>
            </w:r>
            <w:r w:rsidR="00E06C2E" w:rsidRPr="00477FA4">
              <w:rPr>
                <w:rFonts w:ascii="Roboto" w:hAnsi="Roboto"/>
                <w:lang w:val="ro-MD"/>
              </w:rPr>
              <w:t xml:space="preserve"> prevederil</w:t>
            </w:r>
            <w:r w:rsidR="000B5627" w:rsidRPr="00477FA4">
              <w:rPr>
                <w:rFonts w:ascii="Roboto" w:hAnsi="Roboto"/>
                <w:lang w:val="ro-MD"/>
              </w:rPr>
              <w:t>or</w:t>
            </w:r>
            <w:r w:rsidR="00E06C2E" w:rsidRPr="00477FA4">
              <w:rPr>
                <w:rFonts w:ascii="Roboto" w:hAnsi="Roboto"/>
                <w:lang w:val="ro-MD"/>
              </w:rPr>
              <w:t xml:space="preserve"> cadrului european aferent nivelului de aplicare a cerințelor prudențiale (Regulamentul (UE) nr.575/2013 privind cerințele prudențiale pentru instituțiile de credit</w:t>
            </w:r>
            <w:r w:rsidR="000B5627" w:rsidRPr="00477FA4">
              <w:rPr>
                <w:rFonts w:ascii="Roboto" w:hAnsi="Roboto"/>
                <w:lang w:val="ro-MD"/>
              </w:rPr>
              <w:t xml:space="preserve"> și de modificare a Regulamentului (UE) nr. 648/2012, </w:t>
            </w:r>
            <w:r w:rsidR="00E06C2E" w:rsidRPr="00477FA4">
              <w:rPr>
                <w:rFonts w:ascii="Roboto" w:hAnsi="Roboto"/>
                <w:lang w:val="ro-MD"/>
              </w:rPr>
              <w:t xml:space="preserve">așa cum a fost modificat prin Regulamentul delegat (UE) </w:t>
            </w:r>
            <w:r w:rsidR="000B5627" w:rsidRPr="00477FA4">
              <w:rPr>
                <w:rFonts w:ascii="Roboto" w:hAnsi="Roboto"/>
                <w:lang w:val="ro-MD"/>
              </w:rPr>
              <w:t>2024/1623</w:t>
            </w:r>
            <w:r w:rsidR="00E06C2E" w:rsidRPr="00477FA4">
              <w:rPr>
                <w:rFonts w:ascii="Roboto" w:hAnsi="Roboto"/>
                <w:lang w:val="ro-MD"/>
              </w:rPr>
              <w:t>)</w:t>
            </w:r>
            <w:r w:rsidR="00DE5D06" w:rsidRPr="00477FA4">
              <w:rPr>
                <w:rFonts w:ascii="Roboto" w:hAnsi="Roboto"/>
                <w:lang w:val="ro-MD"/>
              </w:rPr>
              <w:t xml:space="preserve"> </w:t>
            </w:r>
            <w:r w:rsidR="000B5627" w:rsidRPr="00477FA4">
              <w:rPr>
                <w:rFonts w:ascii="Roboto" w:hAnsi="Roboto"/>
                <w:lang w:val="ro-MD"/>
              </w:rPr>
              <w:t xml:space="preserve">și a Regulamentului </w:t>
            </w:r>
            <w:r w:rsidR="00DE5D06" w:rsidRPr="00477FA4">
              <w:rPr>
                <w:rFonts w:ascii="Roboto" w:hAnsi="Roboto"/>
                <w:lang w:val="ro-MD"/>
              </w:rPr>
              <w:t xml:space="preserve">delegat (UE) nr. 2022/676 </w:t>
            </w:r>
            <w:r w:rsidR="00DE5D06" w:rsidRPr="00477FA4">
              <w:rPr>
                <w:rFonts w:ascii="Roboto" w:hAnsi="Roboto"/>
                <w:lang w:val="pt-BR"/>
              </w:rPr>
              <w:t>de completare a Regulamentului (UE) nr. 575/ în ceea ce privește standardele tehnice de reglementare care precizează condițiile conform cărora trebuie să se efectueze consolidarea în cazurile menționate la articolul 18 alineatele (3)-(6) și la articolul 18 alineatul (8) din regulamentul menționat</w:t>
            </w:r>
            <w:r w:rsidR="00E06C2E" w:rsidRPr="00477FA4">
              <w:rPr>
                <w:rFonts w:ascii="Roboto" w:hAnsi="Roboto"/>
                <w:lang w:val="ro-MD"/>
              </w:rPr>
              <w:t>.</w:t>
            </w:r>
          </w:p>
        </w:tc>
      </w:tr>
      <w:tr w:rsidR="002C4B8B" w:rsidRPr="00477FA4" w14:paraId="121497A2" w14:textId="77777777" w:rsidTr="00F058D1">
        <w:tc>
          <w:tcPr>
            <w:tcW w:w="5000" w:type="pct"/>
            <w:shd w:val="clear" w:color="auto" w:fill="E7E6E6" w:themeFill="background2"/>
          </w:tcPr>
          <w:p w14:paraId="4D8F6B4F" w14:textId="25CEE750" w:rsidR="002C4B8B" w:rsidRPr="00477FA4" w:rsidRDefault="002C4B8B" w:rsidP="00A34E60">
            <w:pPr>
              <w:tabs>
                <w:tab w:val="left" w:pos="884"/>
                <w:tab w:val="left" w:pos="1196"/>
              </w:tabs>
              <w:spacing w:after="0" w:line="240" w:lineRule="auto"/>
              <w:ind w:firstLine="284"/>
              <w:jc w:val="both"/>
              <w:rPr>
                <w:rFonts w:ascii="Roboto" w:hAnsi="Roboto" w:cs="Times New Roman"/>
                <w:b/>
                <w:sz w:val="24"/>
                <w:szCs w:val="24"/>
                <w:lang w:val="it-CH"/>
              </w:rPr>
            </w:pPr>
            <w:r w:rsidRPr="00477FA4">
              <w:rPr>
                <w:rFonts w:ascii="Roboto" w:eastAsia="Times New Roman" w:hAnsi="Roboto" w:cs="Times New Roman"/>
                <w:sz w:val="24"/>
                <w:szCs w:val="24"/>
                <w:lang w:val="ro-MD"/>
              </w:rPr>
              <w:t>2.2. Descrierea situației actuale și a problemelor care impun intervenția, inclusiv a cadrului normativ aplicabil și a deficiențelor/lacunelor normative</w:t>
            </w:r>
          </w:p>
        </w:tc>
      </w:tr>
      <w:tr w:rsidR="00F65AF4" w:rsidRPr="00477FA4" w14:paraId="096E65EA" w14:textId="77777777" w:rsidTr="00F058D1">
        <w:tc>
          <w:tcPr>
            <w:tcW w:w="5000" w:type="pct"/>
            <w:shd w:val="clear" w:color="auto" w:fill="FFFFFF" w:themeFill="background1"/>
          </w:tcPr>
          <w:p w14:paraId="3385B457" w14:textId="015B04B9" w:rsidR="00DE5D06" w:rsidRPr="00477FA4" w:rsidRDefault="004343DA" w:rsidP="00A34E60">
            <w:pPr>
              <w:pStyle w:val="NormalWeb"/>
              <w:spacing w:after="0" w:afterAutospacing="0"/>
              <w:ind w:firstLine="594"/>
              <w:jc w:val="both"/>
              <w:rPr>
                <w:rFonts w:ascii="Roboto" w:hAnsi="Roboto"/>
                <w:lang w:val="ro-MD"/>
              </w:rPr>
            </w:pPr>
            <w:bookmarkStart w:id="2" w:name="_Hlk210895578"/>
            <w:r w:rsidRPr="00477FA4">
              <w:rPr>
                <w:rFonts w:ascii="Roboto" w:hAnsi="Roboto"/>
                <w:lang w:val="ro-MD"/>
              </w:rPr>
              <w:t xml:space="preserve">Proiectul hotărârii a fost elaborat în contextul angajamentului asumat de Banca  Națională a Moldovei de aliniere a legislației Republicii Moldova în domeniul bancar la </w:t>
            </w:r>
            <w:r w:rsidR="00930CFF" w:rsidRPr="00477FA4">
              <w:rPr>
                <w:rFonts w:ascii="Roboto" w:hAnsi="Roboto"/>
                <w:lang w:val="ro-MD"/>
              </w:rPr>
              <w:t>a</w:t>
            </w:r>
            <w:r w:rsidRPr="00477FA4">
              <w:rPr>
                <w:rFonts w:ascii="Roboto" w:hAnsi="Roboto"/>
                <w:lang w:val="ro-MD"/>
              </w:rPr>
              <w:t>cquis-</w:t>
            </w:r>
            <w:proofErr w:type="spellStart"/>
            <w:r w:rsidRPr="00477FA4">
              <w:rPr>
                <w:rFonts w:ascii="Roboto" w:hAnsi="Roboto"/>
                <w:lang w:val="ro-MD"/>
              </w:rPr>
              <w:t>ul</w:t>
            </w:r>
            <w:proofErr w:type="spellEnd"/>
            <w:r w:rsidRPr="00477FA4">
              <w:rPr>
                <w:rFonts w:ascii="Roboto" w:hAnsi="Roboto"/>
                <w:lang w:val="ro-MD"/>
              </w:rPr>
              <w:t xml:space="preserve"> Uniunii Europene, conform Anexei A la Clusterul 2 „Piața internă”, Capitolului 9 „Servicii financiare” din Programul </w:t>
            </w:r>
            <w:proofErr w:type="spellStart"/>
            <w:r w:rsidR="001F1761" w:rsidRPr="00477FA4">
              <w:rPr>
                <w:rFonts w:ascii="Roboto" w:hAnsi="Roboto"/>
                <w:lang w:val="ro-MD"/>
              </w:rPr>
              <w:t>N</w:t>
            </w:r>
            <w:r w:rsidRPr="00477FA4">
              <w:rPr>
                <w:rFonts w:ascii="Roboto" w:hAnsi="Roboto"/>
                <w:lang w:val="ro-MD"/>
              </w:rPr>
              <w:t>aţional</w:t>
            </w:r>
            <w:proofErr w:type="spellEnd"/>
            <w:r w:rsidRPr="00477FA4">
              <w:rPr>
                <w:rFonts w:ascii="Roboto" w:hAnsi="Roboto"/>
                <w:lang w:val="ro-MD"/>
              </w:rPr>
              <w:t xml:space="preserve"> de </w:t>
            </w:r>
            <w:r w:rsidR="00930CFF" w:rsidRPr="00477FA4">
              <w:rPr>
                <w:rFonts w:ascii="Roboto" w:hAnsi="Roboto"/>
                <w:lang w:val="ro-MD"/>
              </w:rPr>
              <w:t>A</w:t>
            </w:r>
            <w:r w:rsidRPr="00477FA4">
              <w:rPr>
                <w:rFonts w:ascii="Roboto" w:hAnsi="Roboto"/>
                <w:lang w:val="ro-MD"/>
              </w:rPr>
              <w:t>derare a R</w:t>
            </w:r>
            <w:r w:rsidR="00930CFF" w:rsidRPr="00477FA4">
              <w:rPr>
                <w:rFonts w:ascii="Roboto" w:hAnsi="Roboto"/>
                <w:lang w:val="ro-MD"/>
              </w:rPr>
              <w:t xml:space="preserve">epublicii </w:t>
            </w:r>
            <w:r w:rsidRPr="00477FA4">
              <w:rPr>
                <w:rFonts w:ascii="Roboto" w:hAnsi="Roboto"/>
                <w:lang w:val="ro-MD"/>
              </w:rPr>
              <w:t>M</w:t>
            </w:r>
            <w:r w:rsidR="00930CFF" w:rsidRPr="00477FA4">
              <w:rPr>
                <w:rFonts w:ascii="Roboto" w:hAnsi="Roboto"/>
                <w:lang w:val="ro-MD"/>
              </w:rPr>
              <w:t>oldova</w:t>
            </w:r>
            <w:r w:rsidRPr="00477FA4">
              <w:rPr>
                <w:rFonts w:ascii="Roboto" w:hAnsi="Roboto"/>
                <w:lang w:val="ro-MD"/>
              </w:rPr>
              <w:t xml:space="preserve"> la UE pentru anii 2025-2029, aprobat prin Hotărârea Guvernului nr. 306/2025. </w:t>
            </w:r>
          </w:p>
          <w:p w14:paraId="69797ED2" w14:textId="38849D06" w:rsidR="00FD094B" w:rsidRPr="00477FA4" w:rsidRDefault="00FD094B" w:rsidP="00A34E60">
            <w:pPr>
              <w:spacing w:after="0" w:line="240" w:lineRule="auto"/>
              <w:ind w:firstLine="59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 xml:space="preserve">Proiectul hotărârii are drept obiectiv armonizarea cadrului de reglementare secundar cu prevederile </w:t>
            </w:r>
            <w:r w:rsidR="00930CFF" w:rsidRPr="00477FA4">
              <w:rPr>
                <w:rFonts w:ascii="Roboto" w:eastAsia="Times New Roman" w:hAnsi="Roboto" w:cs="Times New Roman"/>
                <w:sz w:val="24"/>
                <w:szCs w:val="24"/>
                <w:lang w:val="ro-MD"/>
              </w:rPr>
              <w:t xml:space="preserve">normelor </w:t>
            </w:r>
            <w:r w:rsidRPr="00477FA4">
              <w:rPr>
                <w:rFonts w:ascii="Roboto" w:eastAsia="Times New Roman" w:hAnsi="Roboto" w:cs="Times New Roman"/>
                <w:sz w:val="24"/>
                <w:szCs w:val="24"/>
                <w:lang w:val="ro-MD"/>
              </w:rPr>
              <w:t>europe</w:t>
            </w:r>
            <w:r w:rsidR="00930CFF" w:rsidRPr="00477FA4">
              <w:rPr>
                <w:rFonts w:ascii="Roboto" w:eastAsia="Times New Roman" w:hAnsi="Roboto" w:cs="Times New Roman"/>
                <w:sz w:val="24"/>
                <w:szCs w:val="24"/>
                <w:lang w:val="ro-MD"/>
              </w:rPr>
              <w:t>ne</w:t>
            </w:r>
            <w:r w:rsidRPr="00477FA4">
              <w:rPr>
                <w:rFonts w:ascii="Roboto" w:eastAsia="Times New Roman" w:hAnsi="Roboto" w:cs="Times New Roman"/>
                <w:sz w:val="24"/>
                <w:szCs w:val="24"/>
                <w:lang w:val="ro-MD"/>
              </w:rPr>
              <w:t xml:space="preserve"> aferente aplicării cerințelor prudențiale, prin transpunerea art. 4 </w:t>
            </w:r>
            <w:r w:rsidR="00231B0A" w:rsidRPr="00477FA4">
              <w:rPr>
                <w:rFonts w:ascii="Roboto" w:eastAsia="Times New Roman" w:hAnsi="Roboto" w:cs="Times New Roman"/>
                <w:sz w:val="24"/>
                <w:szCs w:val="24"/>
                <w:lang w:val="ro-MD"/>
              </w:rPr>
              <w:t>(</w:t>
            </w:r>
            <w:r w:rsidRPr="00477FA4">
              <w:rPr>
                <w:rFonts w:ascii="Roboto" w:eastAsia="Times New Roman" w:hAnsi="Roboto" w:cs="Times New Roman"/>
                <w:sz w:val="24"/>
                <w:szCs w:val="24"/>
                <w:lang w:val="ro-MD"/>
              </w:rPr>
              <w:t>pct. 20a</w:t>
            </w:r>
            <w:r w:rsidR="00231B0A" w:rsidRPr="00477FA4">
              <w:rPr>
                <w:rFonts w:ascii="Roboto" w:eastAsia="Times New Roman" w:hAnsi="Roboto" w:cs="Times New Roman"/>
                <w:sz w:val="24"/>
                <w:szCs w:val="24"/>
                <w:lang w:val="ro-MD"/>
              </w:rPr>
              <w:t>, 23, 24</w:t>
            </w:r>
            <w:r w:rsidRPr="00477FA4">
              <w:rPr>
                <w:rFonts w:ascii="Roboto" w:eastAsia="Times New Roman" w:hAnsi="Roboto" w:cs="Times New Roman"/>
                <w:sz w:val="24"/>
                <w:szCs w:val="24"/>
                <w:lang w:val="ro-MD"/>
              </w:rPr>
              <w:t xml:space="preserve"> și pct. 135</w:t>
            </w:r>
            <w:r w:rsidR="00231B0A" w:rsidRPr="00477FA4">
              <w:rPr>
                <w:rFonts w:ascii="Roboto" w:eastAsia="Times New Roman" w:hAnsi="Roboto" w:cs="Times New Roman"/>
                <w:sz w:val="24"/>
                <w:szCs w:val="24"/>
                <w:lang w:val="ro-MD"/>
              </w:rPr>
              <w:t>)</w:t>
            </w:r>
            <w:r w:rsidRPr="00477FA4">
              <w:rPr>
                <w:rFonts w:ascii="Roboto" w:eastAsia="Times New Roman" w:hAnsi="Roboto" w:cs="Times New Roman"/>
                <w:sz w:val="24"/>
                <w:szCs w:val="24"/>
                <w:lang w:val="ro-MD"/>
              </w:rPr>
              <w:t>, art. 6–14, art. 18 alin. (1)–(8), art. 19, art. 20 alin. (1)–(7) și art. 21–23 din Regulamentul (UE) nr. 575/2013 al Parlamentului European și al Consiliului din 26 iunie 2013 privind cerințele prudențiale pentru instituțiile de credit și de modificare a Regulamentului (UE) nr. 648/2012, a ar</w:t>
            </w:r>
            <w:r w:rsidR="00986158" w:rsidRPr="00477FA4">
              <w:rPr>
                <w:rFonts w:ascii="Roboto" w:eastAsia="Times New Roman" w:hAnsi="Roboto" w:cs="Times New Roman"/>
                <w:sz w:val="24"/>
                <w:szCs w:val="24"/>
                <w:lang w:val="ro-MD"/>
              </w:rPr>
              <w:t xml:space="preserve">t. 123 alin.(2) și </w:t>
            </w:r>
            <w:r w:rsidRPr="00477FA4">
              <w:rPr>
                <w:rFonts w:ascii="Roboto" w:eastAsia="Times New Roman" w:hAnsi="Roboto" w:cs="Times New Roman"/>
                <w:sz w:val="24"/>
                <w:szCs w:val="24"/>
                <w:lang w:val="ro-MD"/>
              </w:rPr>
              <w:t>144 alin. (2) și (3) din Directiva 2013/36/UE a Parlamentului European și a Consiliului din 26 iunie 2013 cu privire la accesul la activitatea instituțiilor de credit și supravegherea prudențială a instituțiilor de credit, precum și prin aplicarea prevederilor Regulamentului delegat (UE) 2022/676 în ceea ce privește standardele tehnice de reglementare care precizează condițiile în care trebuie efectuată consolidarea în cazurile menționate la articolul 18 alineatele (3)–(6) și la articolul 18 alineatul (8) din Regulamentul (UE) nr. 575/2013.</w:t>
            </w:r>
          </w:p>
          <w:p w14:paraId="23DD61BA" w14:textId="1E6E8B44" w:rsidR="001A6185" w:rsidRPr="00477FA4" w:rsidRDefault="00A32367" w:rsidP="00A34E60">
            <w:pPr>
              <w:spacing w:after="0" w:line="240" w:lineRule="auto"/>
              <w:ind w:firstLine="59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lastRenderedPageBreak/>
              <w:t xml:space="preserve">În contextul elaborării noului cadru de reglementare se impune, totodată, abrogarea </w:t>
            </w:r>
            <w:r w:rsidR="009E06F9" w:rsidRPr="00477FA4">
              <w:rPr>
                <w:rFonts w:ascii="Roboto" w:eastAsia="Times New Roman" w:hAnsi="Roboto" w:cs="Times New Roman"/>
                <w:sz w:val="24"/>
                <w:szCs w:val="24"/>
                <w:lang w:val="ro-MD"/>
              </w:rPr>
              <w:t xml:space="preserve">Hotărârii </w:t>
            </w:r>
            <w:r w:rsidR="00D24423" w:rsidRPr="00477FA4">
              <w:rPr>
                <w:rFonts w:ascii="Roboto" w:eastAsia="Times New Roman" w:hAnsi="Roboto" w:cs="Times New Roman"/>
                <w:sz w:val="24"/>
                <w:szCs w:val="24"/>
                <w:lang w:val="ro-MD"/>
              </w:rPr>
              <w:t>C</w:t>
            </w:r>
            <w:r w:rsidR="009E06F9" w:rsidRPr="00477FA4">
              <w:rPr>
                <w:rFonts w:ascii="Roboto" w:eastAsia="Times New Roman" w:hAnsi="Roboto" w:cs="Times New Roman"/>
                <w:sz w:val="24"/>
                <w:szCs w:val="24"/>
                <w:lang w:val="ro-MD"/>
              </w:rPr>
              <w:t>omitetului executiv al BNM</w:t>
            </w:r>
            <w:r w:rsidR="00D24423" w:rsidRPr="00477FA4">
              <w:rPr>
                <w:rFonts w:ascii="Roboto" w:eastAsia="Times New Roman" w:hAnsi="Roboto" w:cs="Times New Roman"/>
                <w:sz w:val="24"/>
                <w:szCs w:val="24"/>
                <w:lang w:val="ro-MD"/>
              </w:rPr>
              <w:t xml:space="preserve"> pentru aprobarea</w:t>
            </w:r>
            <w:r w:rsidR="009E06F9" w:rsidRPr="00477FA4">
              <w:rPr>
                <w:rFonts w:ascii="Roboto" w:eastAsia="Times New Roman" w:hAnsi="Roboto" w:cs="Times New Roman"/>
                <w:sz w:val="24"/>
                <w:szCs w:val="24"/>
                <w:lang w:val="ro-MD"/>
              </w:rPr>
              <w:t xml:space="preserve"> </w:t>
            </w:r>
            <w:r w:rsidRPr="00477FA4">
              <w:rPr>
                <w:rFonts w:ascii="Roboto" w:eastAsia="Times New Roman" w:hAnsi="Roboto" w:cs="Times New Roman"/>
                <w:sz w:val="24"/>
                <w:szCs w:val="24"/>
                <w:lang w:val="ro-MD"/>
              </w:rPr>
              <w:t xml:space="preserve">Regulamentului </w:t>
            </w:r>
            <w:r w:rsidR="00D24423" w:rsidRPr="00477FA4">
              <w:rPr>
                <w:rFonts w:ascii="Roboto" w:eastAsia="Times New Roman" w:hAnsi="Roboto" w:cs="Times New Roman"/>
                <w:sz w:val="24"/>
                <w:szCs w:val="24"/>
                <w:lang w:val="ro-MD"/>
              </w:rPr>
              <w:t xml:space="preserve">cu privire la supravegherea pe bază consolidată a băncilor, </w:t>
            </w:r>
            <w:r w:rsidRPr="00477FA4">
              <w:rPr>
                <w:rFonts w:ascii="Roboto" w:eastAsia="Times New Roman" w:hAnsi="Roboto" w:cs="Times New Roman"/>
                <w:sz w:val="24"/>
                <w:szCs w:val="24"/>
                <w:lang w:val="ro-MD"/>
              </w:rPr>
              <w:t>nr. 101/2020</w:t>
            </w:r>
            <w:r w:rsidR="00D24423" w:rsidRPr="00477FA4">
              <w:rPr>
                <w:rFonts w:ascii="Roboto" w:eastAsia="Times New Roman" w:hAnsi="Roboto" w:cs="Times New Roman"/>
                <w:sz w:val="24"/>
                <w:szCs w:val="24"/>
                <w:lang w:val="ro-MD"/>
              </w:rPr>
              <w:t xml:space="preserve"> (în continuare – Regulamentul nr. 101/2020)</w:t>
            </w:r>
            <w:r w:rsidRPr="00477FA4">
              <w:rPr>
                <w:rFonts w:ascii="Roboto" w:eastAsia="Times New Roman" w:hAnsi="Roboto" w:cs="Times New Roman"/>
                <w:sz w:val="24"/>
                <w:szCs w:val="24"/>
                <w:lang w:val="ro-MD"/>
              </w:rPr>
              <w:t xml:space="preserve">. Necesitatea abrogării </w:t>
            </w:r>
            <w:r w:rsidR="00D24423" w:rsidRPr="00477FA4">
              <w:rPr>
                <w:rFonts w:ascii="Roboto" w:eastAsia="Times New Roman" w:hAnsi="Roboto" w:cs="Times New Roman"/>
                <w:sz w:val="24"/>
                <w:szCs w:val="24"/>
                <w:lang w:val="ro-MD"/>
              </w:rPr>
              <w:t xml:space="preserve">Regulamentului nr. 101/2020 </w:t>
            </w:r>
            <w:r w:rsidRPr="00477FA4">
              <w:rPr>
                <w:rFonts w:ascii="Roboto" w:eastAsia="Times New Roman" w:hAnsi="Roboto" w:cs="Times New Roman"/>
                <w:sz w:val="24"/>
                <w:szCs w:val="24"/>
                <w:lang w:val="ro-MD"/>
              </w:rPr>
              <w:t xml:space="preserve">rezultă din modificarea și extinderea obiectului de reglementare, prin preluarea în cadrul noului act normativ a prevederilor aferente nivelului de aplicare a cerințelor prudențiale, atât la nivel individual, cât și la nivel consolidat, în conformitate cu articolele 6 – </w:t>
            </w:r>
            <w:r w:rsidR="00D24423" w:rsidRPr="00477FA4">
              <w:rPr>
                <w:rFonts w:ascii="Roboto" w:eastAsia="Times New Roman" w:hAnsi="Roboto" w:cs="Times New Roman"/>
                <w:sz w:val="24"/>
                <w:szCs w:val="24"/>
                <w:lang w:val="ro-MD"/>
              </w:rPr>
              <w:t>23</w:t>
            </w:r>
            <w:r w:rsidRPr="00477FA4">
              <w:rPr>
                <w:rFonts w:ascii="Roboto" w:eastAsia="Times New Roman" w:hAnsi="Roboto" w:cs="Times New Roman"/>
                <w:sz w:val="24"/>
                <w:szCs w:val="24"/>
                <w:lang w:val="ro-MD"/>
              </w:rPr>
              <w:t xml:space="preserve"> din Regulamentul (UE) nr. 575/2013.</w:t>
            </w:r>
            <w:r w:rsidR="00D24423" w:rsidRPr="00477FA4">
              <w:rPr>
                <w:rFonts w:ascii="Roboto" w:eastAsia="Times New Roman" w:hAnsi="Roboto" w:cs="Times New Roman"/>
                <w:sz w:val="24"/>
                <w:szCs w:val="24"/>
                <w:lang w:val="ro-MD"/>
              </w:rPr>
              <w:t xml:space="preserve"> </w:t>
            </w:r>
            <w:r w:rsidRPr="00477FA4">
              <w:rPr>
                <w:rFonts w:ascii="Roboto" w:eastAsia="Times New Roman" w:hAnsi="Roboto" w:cs="Times New Roman"/>
                <w:sz w:val="24"/>
                <w:szCs w:val="24"/>
                <w:lang w:val="ro-MD"/>
              </w:rPr>
              <w:t xml:space="preserve">Spre deosebire de Regulamentul nr. 101/2020, al cărui obiect de reglementare este limitat la stabilirea cerințelor și principiilor aplicabile supravegherii pe bază consolidată, noul cadru de reglementare va </w:t>
            </w:r>
            <w:r w:rsidR="00930CFF" w:rsidRPr="00477FA4">
              <w:rPr>
                <w:rFonts w:ascii="Roboto" w:eastAsia="Times New Roman" w:hAnsi="Roboto" w:cs="Times New Roman"/>
                <w:sz w:val="24"/>
                <w:szCs w:val="24"/>
                <w:lang w:val="ro-MD"/>
              </w:rPr>
              <w:t xml:space="preserve">determina </w:t>
            </w:r>
            <w:r w:rsidRPr="00477FA4">
              <w:rPr>
                <w:rFonts w:ascii="Roboto" w:eastAsia="Times New Roman" w:hAnsi="Roboto" w:cs="Times New Roman"/>
                <w:sz w:val="24"/>
                <w:szCs w:val="24"/>
                <w:lang w:val="ro-MD"/>
              </w:rPr>
              <w:t xml:space="preserve">în mod unitar regulile privind aplicarea cerințelor prudențiale la diferitele niveluri de aplicare, inclusiv condițiile și modalitatea de aplicare a acestora la nivel individual și </w:t>
            </w:r>
            <w:r w:rsidR="00930CFF" w:rsidRPr="00477FA4">
              <w:rPr>
                <w:rFonts w:ascii="Roboto" w:eastAsia="Times New Roman" w:hAnsi="Roboto" w:cs="Times New Roman"/>
                <w:sz w:val="24"/>
                <w:szCs w:val="24"/>
                <w:lang w:val="ro-MD"/>
              </w:rPr>
              <w:t xml:space="preserve">la nivel </w:t>
            </w:r>
            <w:r w:rsidRPr="00477FA4">
              <w:rPr>
                <w:rFonts w:ascii="Roboto" w:eastAsia="Times New Roman" w:hAnsi="Roboto" w:cs="Times New Roman"/>
                <w:sz w:val="24"/>
                <w:szCs w:val="24"/>
                <w:lang w:val="ro-MD"/>
              </w:rPr>
              <w:t xml:space="preserve">consolidat. Totodată, acesta va include regulile privind consolidarea prevăzute de cadrul european relevant, inclusiv condițiile în care consolidarea se efectuează în cazurile </w:t>
            </w:r>
            <w:r w:rsidR="00930CFF" w:rsidRPr="00477FA4">
              <w:rPr>
                <w:rFonts w:ascii="Roboto" w:eastAsia="Times New Roman" w:hAnsi="Roboto" w:cs="Times New Roman"/>
                <w:sz w:val="24"/>
                <w:szCs w:val="24"/>
                <w:lang w:val="ro-MD"/>
              </w:rPr>
              <w:t xml:space="preserve">specificate </w:t>
            </w:r>
            <w:r w:rsidRPr="00477FA4">
              <w:rPr>
                <w:rFonts w:ascii="Roboto" w:eastAsia="Times New Roman" w:hAnsi="Roboto" w:cs="Times New Roman"/>
                <w:sz w:val="24"/>
                <w:szCs w:val="24"/>
                <w:lang w:val="ro-MD"/>
              </w:rPr>
              <w:t>la articolul 18 alineatele (3)–(6) și alineatul (8) din Regulamentul (UE) nr. 575/2013, ținând cont de standardele tehnice de reglementare stabilite prin Regulamentul delegat (UE) 2022/676.</w:t>
            </w:r>
          </w:p>
          <w:p w14:paraId="1183D426" w14:textId="64B58C89" w:rsidR="00A32367" w:rsidRPr="00477FA4" w:rsidRDefault="00A32367" w:rsidP="00A34E60">
            <w:pPr>
              <w:spacing w:after="0" w:line="240" w:lineRule="auto"/>
              <w:ind w:firstLine="594"/>
              <w:jc w:val="both"/>
              <w:rPr>
                <w:rFonts w:ascii="Roboto" w:hAnsi="Roboto"/>
                <w:lang w:val="ro-RO" w:eastAsia="ro-MD"/>
              </w:rPr>
            </w:pPr>
            <w:r w:rsidRPr="00477FA4">
              <w:rPr>
                <w:rFonts w:ascii="Roboto" w:eastAsia="Times New Roman" w:hAnsi="Roboto" w:cs="Times New Roman"/>
                <w:sz w:val="24"/>
                <w:szCs w:val="24"/>
                <w:lang w:val="ro-MD"/>
              </w:rPr>
              <w:t xml:space="preserve">În aceste condiții, menținerea în vigoare a Regulamentului nr. 101/2020, în paralel cu noul act normativ, ar putea genera suprapuneri și fragmentarea cadrului de reglementare aplicabil nivelului de aplicare a cerințelor prudențiale, precum și riscul unor neconcordanțe în aplicarea prevederilor </w:t>
            </w:r>
            <w:r w:rsidR="00D24423" w:rsidRPr="00477FA4">
              <w:rPr>
                <w:rFonts w:ascii="Roboto" w:eastAsia="Times New Roman" w:hAnsi="Roboto" w:cs="Times New Roman"/>
                <w:sz w:val="24"/>
                <w:szCs w:val="24"/>
                <w:lang w:val="ro-MD"/>
              </w:rPr>
              <w:t xml:space="preserve">aferente </w:t>
            </w:r>
            <w:r w:rsidRPr="00477FA4">
              <w:rPr>
                <w:rFonts w:ascii="Roboto" w:eastAsia="Times New Roman" w:hAnsi="Roboto" w:cs="Times New Roman"/>
                <w:sz w:val="24"/>
                <w:szCs w:val="24"/>
                <w:lang w:val="ro-MD"/>
              </w:rPr>
              <w:t xml:space="preserve"> consolid</w:t>
            </w:r>
            <w:r w:rsidR="00D24423" w:rsidRPr="00477FA4">
              <w:rPr>
                <w:rFonts w:ascii="Roboto" w:eastAsia="Times New Roman" w:hAnsi="Roboto" w:cs="Times New Roman"/>
                <w:sz w:val="24"/>
                <w:szCs w:val="24"/>
                <w:lang w:val="ro-MD"/>
              </w:rPr>
              <w:t>ării</w:t>
            </w:r>
            <w:r w:rsidRPr="00477FA4">
              <w:rPr>
                <w:rFonts w:ascii="Roboto" w:eastAsia="Times New Roman" w:hAnsi="Roboto" w:cs="Times New Roman"/>
                <w:sz w:val="24"/>
                <w:szCs w:val="24"/>
                <w:lang w:val="ro-MD"/>
              </w:rPr>
              <w:t>. Prin urmare, abrogarea Regulamentului nr. 101/2020 este necesară în vederea asigurării unui cadru normativ unitar, coerent și clar privind aplicarea cerințelor prudențiale atât la nivel individual, cât și la nivel consolidat, precum și pentru asigurarea alinierii acestuia la acquis-</w:t>
            </w:r>
            <w:proofErr w:type="spellStart"/>
            <w:r w:rsidRPr="00477FA4">
              <w:rPr>
                <w:rFonts w:ascii="Roboto" w:eastAsia="Times New Roman" w:hAnsi="Roboto" w:cs="Times New Roman"/>
                <w:sz w:val="24"/>
                <w:szCs w:val="24"/>
                <w:lang w:val="ro-MD"/>
              </w:rPr>
              <w:t>ul</w:t>
            </w:r>
            <w:proofErr w:type="spellEnd"/>
            <w:r w:rsidRPr="00477FA4">
              <w:rPr>
                <w:rFonts w:ascii="Roboto" w:eastAsia="Times New Roman" w:hAnsi="Roboto" w:cs="Times New Roman"/>
                <w:sz w:val="24"/>
                <w:szCs w:val="24"/>
                <w:lang w:val="ro-MD"/>
              </w:rPr>
              <w:t xml:space="preserve"> Uniunii Europene în domeniul serviciilor financiare.</w:t>
            </w:r>
          </w:p>
        </w:tc>
      </w:tr>
      <w:bookmarkEnd w:id="2"/>
      <w:tr w:rsidR="00E41CDC" w:rsidRPr="00477FA4" w14:paraId="07CC01C0" w14:textId="77777777" w:rsidTr="00F058D1">
        <w:tc>
          <w:tcPr>
            <w:tcW w:w="5000" w:type="pct"/>
            <w:shd w:val="clear" w:color="auto" w:fill="AEAAAA" w:themeFill="background2" w:themeFillShade="BF"/>
          </w:tcPr>
          <w:p w14:paraId="4CCA4BD5" w14:textId="49B5A4BA" w:rsidR="00E41CDC" w:rsidRPr="00477FA4" w:rsidRDefault="002C4B8B" w:rsidP="00A34E60">
            <w:pPr>
              <w:tabs>
                <w:tab w:val="left" w:pos="884"/>
                <w:tab w:val="left" w:pos="1196"/>
                <w:tab w:val="right" w:pos="9854"/>
              </w:tabs>
              <w:spacing w:after="0" w:line="240" w:lineRule="auto"/>
              <w:ind w:firstLine="284"/>
              <w:jc w:val="both"/>
              <w:rPr>
                <w:rFonts w:ascii="Roboto" w:hAnsi="Roboto" w:cs="Times New Roman"/>
                <w:b/>
                <w:sz w:val="24"/>
                <w:szCs w:val="24"/>
                <w:lang w:val="it-CH"/>
              </w:rPr>
            </w:pPr>
            <w:r w:rsidRPr="00477FA4">
              <w:rPr>
                <w:rFonts w:ascii="Roboto" w:hAnsi="Roboto" w:cs="Times New Roman"/>
                <w:b/>
                <w:sz w:val="24"/>
                <w:szCs w:val="24"/>
                <w:lang w:val="ro-MD"/>
              </w:rPr>
              <w:lastRenderedPageBreak/>
              <w:t>3. Obiectivele urmărite și soluțiile propuse</w:t>
            </w:r>
            <w:r w:rsidRPr="00477FA4">
              <w:rPr>
                <w:rFonts w:ascii="Roboto" w:hAnsi="Roboto" w:cs="Times New Roman"/>
                <w:b/>
                <w:sz w:val="24"/>
                <w:szCs w:val="24"/>
                <w:lang w:val="ro-MD"/>
              </w:rPr>
              <w:tab/>
            </w:r>
          </w:p>
        </w:tc>
      </w:tr>
      <w:tr w:rsidR="002C4B8B" w:rsidRPr="00477FA4" w14:paraId="3FC31FC7" w14:textId="77777777" w:rsidTr="00F058D1">
        <w:tc>
          <w:tcPr>
            <w:tcW w:w="5000" w:type="pct"/>
            <w:shd w:val="clear" w:color="auto" w:fill="E7E6E6" w:themeFill="background2"/>
          </w:tcPr>
          <w:p w14:paraId="3EE05900" w14:textId="214E795F" w:rsidR="002C4B8B" w:rsidRPr="00477FA4" w:rsidRDefault="002C4B8B" w:rsidP="00A34E60">
            <w:pPr>
              <w:tabs>
                <w:tab w:val="left" w:pos="884"/>
                <w:tab w:val="left" w:pos="1196"/>
                <w:tab w:val="right" w:pos="9854"/>
              </w:tabs>
              <w:spacing w:after="0" w:line="240" w:lineRule="auto"/>
              <w:ind w:firstLine="284"/>
              <w:jc w:val="both"/>
              <w:rPr>
                <w:rFonts w:ascii="Roboto" w:hAnsi="Roboto" w:cs="Times New Roman"/>
                <w:b/>
                <w:sz w:val="24"/>
                <w:szCs w:val="24"/>
                <w:lang w:val="it-CH"/>
              </w:rPr>
            </w:pPr>
            <w:r w:rsidRPr="00477FA4">
              <w:rPr>
                <w:rFonts w:ascii="Roboto" w:eastAsia="Times New Roman" w:hAnsi="Roboto" w:cs="Times New Roman"/>
                <w:sz w:val="24"/>
                <w:szCs w:val="24"/>
                <w:lang w:val="ro-MD"/>
              </w:rPr>
              <w:t>3.1. Principalele prevederi ale proiectului și evidențierea elementelor noi</w:t>
            </w:r>
          </w:p>
        </w:tc>
      </w:tr>
      <w:tr w:rsidR="00E41CDC" w:rsidRPr="00477FA4" w14:paraId="1AD58E74" w14:textId="77777777" w:rsidTr="00F058D1">
        <w:tc>
          <w:tcPr>
            <w:tcW w:w="5000" w:type="pct"/>
            <w:shd w:val="clear" w:color="auto" w:fill="auto"/>
          </w:tcPr>
          <w:p w14:paraId="01695323" w14:textId="42D02E4C" w:rsidR="00960EAA" w:rsidRPr="00477FA4" w:rsidRDefault="00E354CF" w:rsidP="00A34E60">
            <w:pPr>
              <w:pStyle w:val="NormalWeb"/>
              <w:spacing w:before="0" w:beforeAutospacing="0" w:after="0" w:afterAutospacing="0"/>
              <w:ind w:firstLine="594"/>
              <w:jc w:val="both"/>
              <w:rPr>
                <w:rFonts w:ascii="Roboto" w:hAnsi="Roboto"/>
                <w:lang w:val="ro-RO"/>
              </w:rPr>
            </w:pPr>
            <w:r w:rsidRPr="00477FA4">
              <w:rPr>
                <w:rFonts w:ascii="Roboto" w:hAnsi="Roboto"/>
                <w:lang w:val="ro-MD"/>
              </w:rPr>
              <w:t xml:space="preserve">În proiectul Regulamentului sunt stabilite nivelurile de aplicare a cerințelor prudențiale aplicabile instituțiilor de credit (la nivel individual, consolidat și, după caz, </w:t>
            </w:r>
            <w:proofErr w:type="spellStart"/>
            <w:r w:rsidRPr="00477FA4">
              <w:rPr>
                <w:rFonts w:ascii="Roboto" w:hAnsi="Roboto"/>
                <w:lang w:val="ro-RO"/>
              </w:rPr>
              <w:t>subconsolidat</w:t>
            </w:r>
            <w:proofErr w:type="spellEnd"/>
            <w:r w:rsidRPr="00477FA4">
              <w:rPr>
                <w:rFonts w:ascii="Roboto" w:hAnsi="Roboto"/>
                <w:lang w:val="ro-RO"/>
              </w:rPr>
              <w:t xml:space="preserve">), metodele de consolidare prudențială, inclusiv posibilitatea aplicării </w:t>
            </w:r>
            <w:r w:rsidR="00916460" w:rsidRPr="00477FA4">
              <w:rPr>
                <w:rFonts w:ascii="Roboto" w:hAnsi="Roboto"/>
                <w:lang w:val="ro-RO"/>
              </w:rPr>
              <w:t>unor</w:t>
            </w:r>
            <w:r w:rsidRPr="00477FA4">
              <w:rPr>
                <w:rFonts w:ascii="Roboto" w:hAnsi="Roboto"/>
                <w:lang w:val="ro-RO"/>
              </w:rPr>
              <w:t xml:space="preserve"> derogări de către Banca Națională a Moldovei </w:t>
            </w:r>
            <w:r w:rsidR="00916460" w:rsidRPr="00477FA4">
              <w:rPr>
                <w:rFonts w:ascii="Roboto" w:hAnsi="Roboto"/>
                <w:lang w:val="ro-RO"/>
              </w:rPr>
              <w:t>de la aplicarea anumitor</w:t>
            </w:r>
            <w:r w:rsidRPr="00477FA4">
              <w:rPr>
                <w:rFonts w:ascii="Roboto" w:hAnsi="Roboto"/>
                <w:lang w:val="ro-RO"/>
              </w:rPr>
              <w:t xml:space="preserve"> </w:t>
            </w:r>
            <w:r w:rsidR="00916460" w:rsidRPr="00477FA4">
              <w:rPr>
                <w:rFonts w:ascii="Roboto" w:hAnsi="Roboto"/>
                <w:lang w:val="ro-RO"/>
              </w:rPr>
              <w:t>cerințe</w:t>
            </w:r>
            <w:r w:rsidRPr="00477FA4">
              <w:rPr>
                <w:rFonts w:ascii="Roboto" w:hAnsi="Roboto"/>
                <w:lang w:val="ro-RO"/>
              </w:rPr>
              <w:t xml:space="preserve"> prudențiale </w:t>
            </w:r>
            <w:r w:rsidR="00916460" w:rsidRPr="00477FA4">
              <w:rPr>
                <w:rFonts w:ascii="Roboto" w:hAnsi="Roboto"/>
                <w:lang w:val="ro-RO"/>
              </w:rPr>
              <w:t>atât la nivel individual</w:t>
            </w:r>
            <w:r w:rsidR="00930CFF" w:rsidRPr="00477FA4">
              <w:rPr>
                <w:rFonts w:ascii="Roboto" w:hAnsi="Roboto"/>
                <w:lang w:val="ro-RO"/>
              </w:rPr>
              <w:t>,</w:t>
            </w:r>
            <w:r w:rsidR="00916460" w:rsidRPr="00477FA4">
              <w:rPr>
                <w:rFonts w:ascii="Roboto" w:hAnsi="Roboto"/>
                <w:lang w:val="ro-RO"/>
              </w:rPr>
              <w:t xml:space="preserve"> cât și </w:t>
            </w:r>
            <w:r w:rsidR="00930CFF" w:rsidRPr="00477FA4">
              <w:rPr>
                <w:rFonts w:ascii="Roboto" w:hAnsi="Roboto"/>
                <w:lang w:val="ro-RO"/>
              </w:rPr>
              <w:t xml:space="preserve">la </w:t>
            </w:r>
            <w:r w:rsidR="00916460" w:rsidRPr="00477FA4">
              <w:rPr>
                <w:rFonts w:ascii="Roboto" w:hAnsi="Roboto"/>
                <w:lang w:val="ro-RO"/>
              </w:rPr>
              <w:t>nivel consolidat.</w:t>
            </w:r>
          </w:p>
          <w:p w14:paraId="78D3F47B" w14:textId="129BE33D" w:rsidR="00E354CF" w:rsidRPr="00477FA4" w:rsidRDefault="00E354CF" w:rsidP="00A34E60">
            <w:pPr>
              <w:pStyle w:val="NormalWeb"/>
              <w:spacing w:before="0" w:beforeAutospacing="0" w:after="0" w:afterAutospacing="0"/>
              <w:ind w:firstLine="594"/>
              <w:jc w:val="both"/>
              <w:rPr>
                <w:rFonts w:ascii="Roboto" w:hAnsi="Roboto"/>
                <w:lang w:val="ro-MD"/>
              </w:rPr>
            </w:pPr>
            <w:r w:rsidRPr="00477FA4">
              <w:rPr>
                <w:rFonts w:ascii="Roboto" w:hAnsi="Roboto"/>
                <w:lang w:val="ro-RO"/>
              </w:rPr>
              <w:t xml:space="preserve">Totodată, proiectul </w:t>
            </w:r>
            <w:r w:rsidR="00916460" w:rsidRPr="00477FA4">
              <w:rPr>
                <w:rFonts w:ascii="Roboto" w:hAnsi="Roboto"/>
                <w:lang w:val="ro-RO"/>
              </w:rPr>
              <w:t xml:space="preserve">de Regulament </w:t>
            </w:r>
            <w:r w:rsidRPr="00477FA4">
              <w:rPr>
                <w:rFonts w:ascii="Roboto" w:hAnsi="Roboto"/>
                <w:lang w:val="ro-RO"/>
              </w:rPr>
              <w:t xml:space="preserve">stabilește cerințe privind tranzacțiile </w:t>
            </w:r>
            <w:proofErr w:type="spellStart"/>
            <w:r w:rsidRPr="00477FA4">
              <w:rPr>
                <w:rFonts w:ascii="Roboto" w:hAnsi="Roboto"/>
                <w:lang w:val="ro-RO"/>
              </w:rPr>
              <w:t>intragrup</w:t>
            </w:r>
            <w:proofErr w:type="spellEnd"/>
            <w:r w:rsidRPr="00477FA4">
              <w:rPr>
                <w:rFonts w:ascii="Roboto" w:hAnsi="Roboto"/>
                <w:lang w:val="ro-MD"/>
              </w:rPr>
              <w:t xml:space="preserve"> cu societățile holding cu activitate mixtă, obligațiile de furnizare a informațiilor privind structura grupului, precum și cerințe de publicare specifice aplicabile în cazul exercitării anumitor opțiuni de către Banca Națională a Moldovei.</w:t>
            </w:r>
          </w:p>
          <w:p w14:paraId="7B5D8425" w14:textId="315A8603" w:rsidR="003E0E79"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 xml:space="preserve">Principalele prevederi ale proiectului </w:t>
            </w:r>
            <w:r w:rsidR="00E354CF" w:rsidRPr="00477FA4">
              <w:rPr>
                <w:rFonts w:ascii="Roboto" w:hAnsi="Roboto"/>
                <w:lang w:val="ro-MD"/>
              </w:rPr>
              <w:t xml:space="preserve">de Regulament </w:t>
            </w:r>
            <w:r w:rsidRPr="00477FA4">
              <w:rPr>
                <w:rFonts w:ascii="Roboto" w:hAnsi="Roboto"/>
                <w:lang w:val="ro-MD"/>
              </w:rPr>
              <w:t>sunt structurate după cum urmează:</w:t>
            </w:r>
          </w:p>
          <w:p w14:paraId="6E6A2B2D" w14:textId="288E08FA" w:rsidR="003E0E79"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 xml:space="preserve">Capitolul I – </w:t>
            </w:r>
            <w:r w:rsidRPr="00477FA4">
              <w:rPr>
                <w:rFonts w:ascii="Roboto" w:hAnsi="Roboto"/>
                <w:i/>
                <w:iCs/>
                <w:lang w:val="ro-MD"/>
              </w:rPr>
              <w:t>Obiect și domeniu de aplicare</w:t>
            </w:r>
            <w:r w:rsidRPr="00477FA4">
              <w:rPr>
                <w:rFonts w:ascii="Roboto" w:hAnsi="Roboto"/>
                <w:lang w:val="ro-MD"/>
              </w:rPr>
              <w:t> </w:t>
            </w:r>
            <w:r w:rsidR="00930CFF" w:rsidRPr="00477FA4">
              <w:rPr>
                <w:rFonts w:ascii="Roboto" w:hAnsi="Roboto"/>
                <w:lang w:val="ro-MD"/>
              </w:rPr>
              <w:t xml:space="preserve">- </w:t>
            </w:r>
            <w:r w:rsidRPr="00477FA4">
              <w:rPr>
                <w:rFonts w:ascii="Roboto" w:hAnsi="Roboto"/>
                <w:lang w:val="ro-MD"/>
              </w:rPr>
              <w:t xml:space="preserve">stabilește obiectul </w:t>
            </w:r>
            <w:r w:rsidR="00960EAA" w:rsidRPr="00477FA4">
              <w:rPr>
                <w:rFonts w:ascii="Roboto" w:hAnsi="Roboto"/>
                <w:lang w:val="ro-MD"/>
              </w:rPr>
              <w:t>r</w:t>
            </w:r>
            <w:r w:rsidRPr="00477FA4">
              <w:rPr>
                <w:rFonts w:ascii="Roboto" w:hAnsi="Roboto"/>
                <w:lang w:val="ro-MD"/>
              </w:rPr>
              <w:t>egulamentului și domeniul de aplicare a prevederilor acestuia.</w:t>
            </w:r>
          </w:p>
          <w:p w14:paraId="7A07475E" w14:textId="64D3440F" w:rsidR="003E0E79"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 xml:space="preserve">Capitolul II – </w:t>
            </w:r>
            <w:r w:rsidRPr="00477FA4">
              <w:rPr>
                <w:rFonts w:ascii="Roboto" w:hAnsi="Roboto"/>
                <w:i/>
                <w:iCs/>
                <w:lang w:val="ro-MD"/>
              </w:rPr>
              <w:t>Aplicarea cerințelor prudențiale pe bază individuală</w:t>
            </w:r>
            <w:r w:rsidRPr="00477FA4">
              <w:rPr>
                <w:rFonts w:ascii="Roboto" w:hAnsi="Roboto"/>
                <w:lang w:val="ro-MD"/>
              </w:rPr>
              <w:t> </w:t>
            </w:r>
            <w:r w:rsidR="00930CFF" w:rsidRPr="00477FA4">
              <w:rPr>
                <w:rFonts w:ascii="Roboto" w:hAnsi="Roboto"/>
                <w:lang w:val="ro-MD"/>
              </w:rPr>
              <w:t xml:space="preserve">- </w:t>
            </w:r>
            <w:r w:rsidRPr="00477FA4">
              <w:rPr>
                <w:rFonts w:ascii="Roboto" w:hAnsi="Roboto"/>
                <w:lang w:val="ro-MD"/>
              </w:rPr>
              <w:t>descrie nivelul de aplicare a cerințelor prudențiale pe bază individuală și stabilește tratamentul general aferent aplicării acestora de către instituțiile de credit, inclusiv condițiile pentru aplicarea derogărilor de la respectarea cerințelor prudențiale pe bază individuală.</w:t>
            </w:r>
          </w:p>
          <w:p w14:paraId="5C2CA358" w14:textId="11EBAA78" w:rsidR="003E0E79"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lastRenderedPageBreak/>
              <w:t xml:space="preserve">Capitolul III – </w:t>
            </w:r>
            <w:r w:rsidRPr="00477FA4">
              <w:rPr>
                <w:rFonts w:ascii="Roboto" w:hAnsi="Roboto"/>
                <w:i/>
                <w:iCs/>
                <w:lang w:val="ro-MD"/>
              </w:rPr>
              <w:t>Aplicarea cerințelor prudențiale pe bază consolidată</w:t>
            </w:r>
            <w:r w:rsidRPr="00477FA4">
              <w:rPr>
                <w:rFonts w:ascii="Roboto" w:hAnsi="Roboto"/>
                <w:lang w:val="ro-MD"/>
              </w:rPr>
              <w:t> </w:t>
            </w:r>
            <w:r w:rsidR="00930CFF" w:rsidRPr="00477FA4">
              <w:rPr>
                <w:rFonts w:ascii="Roboto" w:hAnsi="Roboto"/>
                <w:lang w:val="ro-MD"/>
              </w:rPr>
              <w:t xml:space="preserve">- </w:t>
            </w:r>
            <w:r w:rsidRPr="00477FA4">
              <w:rPr>
                <w:rFonts w:ascii="Roboto" w:hAnsi="Roboto"/>
                <w:lang w:val="ro-MD"/>
              </w:rPr>
              <w:t xml:space="preserve">descrie nivelul de aplicare a cerințelor prudențiale pe bază consolidată și stabilește tratamentul general aferent aplicării acestora de către instituțiile de credit. Totodată, capitolul reglementează metodele de consolidare prudențială, mecanismul de acordare a deciziei comune aferente cerințelor prudențiale în cazul în care Banca Națională a Moldovei acționează în calitate de supraveghetor consolidant, inclusiv deciziile comune privind nivelul de aplicare a cerințelor de lichiditate, condițiile de excludere a anumitor entități din perimetrul de consolidare prudențială, precum și aplicarea cerințelor prudențiale la nivel </w:t>
            </w:r>
            <w:proofErr w:type="spellStart"/>
            <w:r w:rsidRPr="00477FA4">
              <w:rPr>
                <w:rFonts w:ascii="Roboto" w:hAnsi="Roboto"/>
                <w:lang w:val="ro-MD"/>
              </w:rPr>
              <w:t>subconsolidat</w:t>
            </w:r>
            <w:proofErr w:type="spellEnd"/>
            <w:r w:rsidRPr="00477FA4">
              <w:rPr>
                <w:rFonts w:ascii="Roboto" w:hAnsi="Roboto"/>
                <w:lang w:val="ro-MD"/>
              </w:rPr>
              <w:t xml:space="preserve"> în cazul entităților din state terțe.</w:t>
            </w:r>
          </w:p>
          <w:p w14:paraId="37EDA754" w14:textId="755571B8" w:rsidR="003E0E79"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Capitolul IV</w:t>
            </w:r>
            <w:r w:rsidRPr="00477FA4">
              <w:rPr>
                <w:rFonts w:ascii="Roboto" w:hAnsi="Roboto"/>
                <w:b/>
                <w:bCs/>
                <w:lang w:val="ro-MD"/>
              </w:rPr>
              <w:t xml:space="preserve"> – </w:t>
            </w:r>
            <w:r w:rsidRPr="00477FA4">
              <w:rPr>
                <w:rFonts w:ascii="Roboto" w:hAnsi="Roboto"/>
                <w:i/>
                <w:iCs/>
                <w:lang w:val="ro-MD"/>
              </w:rPr>
              <w:t xml:space="preserve">Tranzacțiile </w:t>
            </w:r>
            <w:proofErr w:type="spellStart"/>
            <w:r w:rsidRPr="00477FA4">
              <w:rPr>
                <w:rFonts w:ascii="Roboto" w:hAnsi="Roboto"/>
                <w:i/>
                <w:iCs/>
                <w:lang w:val="ro-MD"/>
              </w:rPr>
              <w:t>intragrup</w:t>
            </w:r>
            <w:proofErr w:type="spellEnd"/>
            <w:r w:rsidRPr="00477FA4">
              <w:rPr>
                <w:rFonts w:ascii="Roboto" w:hAnsi="Roboto"/>
                <w:i/>
                <w:iCs/>
                <w:lang w:val="ro-MD"/>
              </w:rPr>
              <w:t xml:space="preserve"> cu societățile holding cu activitate mixtă</w:t>
            </w:r>
            <w:r w:rsidRPr="00477FA4">
              <w:rPr>
                <w:rFonts w:ascii="Roboto" w:hAnsi="Roboto"/>
                <w:lang w:val="ro-MD"/>
              </w:rPr>
              <w:t> </w:t>
            </w:r>
            <w:r w:rsidR="00344DB5" w:rsidRPr="00477FA4">
              <w:rPr>
                <w:rFonts w:ascii="Roboto" w:hAnsi="Roboto"/>
                <w:lang w:val="ro-MD"/>
              </w:rPr>
              <w:t xml:space="preserve">- </w:t>
            </w:r>
            <w:r w:rsidRPr="00477FA4">
              <w:rPr>
                <w:rFonts w:ascii="Roboto" w:hAnsi="Roboto"/>
                <w:lang w:val="ro-MD"/>
              </w:rPr>
              <w:t xml:space="preserve">stabilește cerințe privind gestionarea și controlul tranzacțiilor </w:t>
            </w:r>
            <w:proofErr w:type="spellStart"/>
            <w:r w:rsidRPr="00477FA4">
              <w:rPr>
                <w:rFonts w:ascii="Roboto" w:hAnsi="Roboto"/>
                <w:lang w:val="ro-MD"/>
              </w:rPr>
              <w:t>intragrup</w:t>
            </w:r>
            <w:proofErr w:type="spellEnd"/>
            <w:r w:rsidRPr="00477FA4">
              <w:rPr>
                <w:rFonts w:ascii="Roboto" w:hAnsi="Roboto"/>
                <w:lang w:val="ro-MD"/>
              </w:rPr>
              <w:t>, precum și obligația instituțiilor de credit de a informa Banca Națională a Moldovei cu privire la tranzacțiile semnificative cu societățile holding cu activitate mixtă și filialele acestora.</w:t>
            </w:r>
          </w:p>
          <w:p w14:paraId="333918A9" w14:textId="2937D469" w:rsidR="003E0E79"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Capitolul V</w:t>
            </w:r>
            <w:r w:rsidRPr="00477FA4">
              <w:rPr>
                <w:rFonts w:ascii="Roboto" w:hAnsi="Roboto"/>
                <w:b/>
                <w:bCs/>
                <w:lang w:val="ro-MD"/>
              </w:rPr>
              <w:t xml:space="preserve"> – </w:t>
            </w:r>
            <w:r w:rsidRPr="00477FA4">
              <w:rPr>
                <w:rFonts w:ascii="Roboto" w:hAnsi="Roboto"/>
                <w:i/>
                <w:iCs/>
                <w:lang w:val="ro-MD"/>
              </w:rPr>
              <w:t>Furnizarea de informații</w:t>
            </w:r>
            <w:r w:rsidRPr="00477FA4">
              <w:rPr>
                <w:rFonts w:ascii="Roboto" w:hAnsi="Roboto"/>
                <w:lang w:val="ro-MD"/>
              </w:rPr>
              <w:t> </w:t>
            </w:r>
            <w:r w:rsidR="00344DB5" w:rsidRPr="00477FA4">
              <w:rPr>
                <w:rFonts w:ascii="Roboto" w:hAnsi="Roboto"/>
                <w:lang w:val="ro-MD"/>
              </w:rPr>
              <w:t xml:space="preserve">- </w:t>
            </w:r>
            <w:r w:rsidRPr="00477FA4">
              <w:rPr>
                <w:rFonts w:ascii="Roboto" w:hAnsi="Roboto"/>
                <w:lang w:val="ro-MD"/>
              </w:rPr>
              <w:t>stabilește obligațiile instituțiilor de credit de a furniza Băncii Naționale a Moldovei informații privind structura grupului, perimetrul de consolidare prudențială și entitățile incluse sau excluse din acesta, precum și de a comunica modificările informațiilor furnizate.</w:t>
            </w:r>
          </w:p>
          <w:p w14:paraId="386BCE49" w14:textId="66553FBC" w:rsidR="00A32367" w:rsidRPr="00477FA4" w:rsidRDefault="003E0E79"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Capitolul VI</w:t>
            </w:r>
            <w:r w:rsidRPr="00477FA4">
              <w:rPr>
                <w:rFonts w:ascii="Roboto" w:hAnsi="Roboto"/>
                <w:b/>
                <w:bCs/>
                <w:lang w:val="ro-MD"/>
              </w:rPr>
              <w:t xml:space="preserve"> – </w:t>
            </w:r>
            <w:r w:rsidRPr="00477FA4">
              <w:rPr>
                <w:rFonts w:ascii="Roboto" w:hAnsi="Roboto"/>
                <w:i/>
                <w:iCs/>
                <w:lang w:val="ro-MD"/>
              </w:rPr>
              <w:t>Cerințe de publicare specifice</w:t>
            </w:r>
            <w:r w:rsidRPr="00477FA4">
              <w:rPr>
                <w:rFonts w:ascii="Roboto" w:hAnsi="Roboto"/>
                <w:lang w:val="ro-MD"/>
              </w:rPr>
              <w:t> </w:t>
            </w:r>
            <w:r w:rsidR="00344DB5" w:rsidRPr="00477FA4">
              <w:rPr>
                <w:rFonts w:ascii="Roboto" w:hAnsi="Roboto"/>
                <w:lang w:val="ro-MD"/>
              </w:rPr>
              <w:t xml:space="preserve">- </w:t>
            </w:r>
            <w:r w:rsidRPr="00477FA4">
              <w:rPr>
                <w:rFonts w:ascii="Roboto" w:hAnsi="Roboto"/>
                <w:lang w:val="ro-MD"/>
              </w:rPr>
              <w:t>stabilește informațiile pe care Banca Națională a Moldovei urmează să le publice în cazul exercitării anumitor opțiuni prevăzute de Regulament, inclusiv informații privind instituțiile de credit-mamă și fondurile proprii deținute la filiale din state terțe.</w:t>
            </w:r>
          </w:p>
        </w:tc>
      </w:tr>
      <w:tr w:rsidR="002C4B8B" w:rsidRPr="00477FA4" w14:paraId="64D91DCB" w14:textId="77777777" w:rsidTr="00F058D1">
        <w:tc>
          <w:tcPr>
            <w:tcW w:w="5000" w:type="pct"/>
            <w:shd w:val="clear" w:color="auto" w:fill="E7E6E6" w:themeFill="background2"/>
          </w:tcPr>
          <w:p w14:paraId="168AC5F6" w14:textId="5683F9A5" w:rsidR="002C4B8B" w:rsidRPr="00477FA4" w:rsidRDefault="002C4B8B" w:rsidP="00A34E60">
            <w:pPr>
              <w:tabs>
                <w:tab w:val="left" w:pos="884"/>
                <w:tab w:val="left" w:pos="1196"/>
              </w:tabs>
              <w:spacing w:after="0" w:line="240" w:lineRule="auto"/>
              <w:ind w:firstLine="284"/>
              <w:jc w:val="both"/>
              <w:rPr>
                <w:rFonts w:ascii="Roboto" w:hAnsi="Roboto" w:cs="Times New Roman"/>
                <w:b/>
                <w:sz w:val="24"/>
                <w:szCs w:val="24"/>
                <w:lang w:val="ro-MD"/>
              </w:rPr>
            </w:pPr>
            <w:r w:rsidRPr="00477FA4">
              <w:rPr>
                <w:rFonts w:ascii="Roboto" w:eastAsia="Times New Roman" w:hAnsi="Roboto" w:cs="Times New Roman"/>
                <w:sz w:val="24"/>
                <w:szCs w:val="24"/>
                <w:lang w:val="ro-MD"/>
              </w:rPr>
              <w:lastRenderedPageBreak/>
              <w:t>3.2. Opțiunile alternative analizate și motivele pentru care acestea nu au fost luate în considerare</w:t>
            </w:r>
          </w:p>
        </w:tc>
      </w:tr>
      <w:tr w:rsidR="00CB32A5" w:rsidRPr="00477FA4" w14:paraId="59635F1F" w14:textId="77777777" w:rsidTr="00F058D1">
        <w:tc>
          <w:tcPr>
            <w:tcW w:w="5000" w:type="pct"/>
            <w:shd w:val="clear" w:color="auto" w:fill="auto"/>
          </w:tcPr>
          <w:p w14:paraId="65250CA7" w14:textId="48FC4957" w:rsidR="00E53BB9" w:rsidRPr="00477FA4" w:rsidRDefault="00990506" w:rsidP="00A34E60">
            <w:pPr>
              <w:tabs>
                <w:tab w:val="left" w:pos="884"/>
                <w:tab w:val="left" w:pos="1196"/>
              </w:tabs>
              <w:spacing w:after="0" w:line="240" w:lineRule="auto"/>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RO"/>
              </w:rPr>
              <w:t>Proiectul hotărârii a fost elaborat în</w:t>
            </w:r>
            <w:r w:rsidR="00E06C2E" w:rsidRPr="00477FA4">
              <w:rPr>
                <w:rFonts w:ascii="Roboto" w:eastAsia="Times New Roman" w:hAnsi="Roboto" w:cs="Times New Roman"/>
                <w:sz w:val="24"/>
                <w:szCs w:val="24"/>
                <w:lang w:val="ro-RO"/>
              </w:rPr>
              <w:t xml:space="preserve"> scopul </w:t>
            </w:r>
            <w:r w:rsidR="00A62D34" w:rsidRPr="00477FA4">
              <w:rPr>
                <w:rFonts w:ascii="Roboto" w:eastAsia="Times New Roman" w:hAnsi="Roboto" w:cs="Times New Roman"/>
                <w:sz w:val="24"/>
                <w:szCs w:val="24"/>
                <w:lang w:val="ro-RO"/>
              </w:rPr>
              <w:t xml:space="preserve">alinierii </w:t>
            </w:r>
            <w:r w:rsidR="00E06C2E" w:rsidRPr="00477FA4">
              <w:rPr>
                <w:rFonts w:ascii="Roboto" w:eastAsia="Times New Roman" w:hAnsi="Roboto" w:cs="Times New Roman"/>
                <w:sz w:val="24"/>
                <w:szCs w:val="24"/>
                <w:lang w:val="ro-RO"/>
              </w:rPr>
              <w:t>cadrului normativ</w:t>
            </w:r>
            <w:r w:rsidR="00A62D34" w:rsidRPr="00477FA4">
              <w:rPr>
                <w:rFonts w:ascii="Roboto" w:eastAsia="Times New Roman" w:hAnsi="Roboto" w:cs="Times New Roman"/>
                <w:sz w:val="24"/>
                <w:szCs w:val="24"/>
                <w:lang w:val="ro-RO"/>
              </w:rPr>
              <w:t xml:space="preserve"> național la cel </w:t>
            </w:r>
            <w:r w:rsidR="00E06C2E" w:rsidRPr="00477FA4">
              <w:rPr>
                <w:rFonts w:ascii="Roboto" w:eastAsia="Times New Roman" w:hAnsi="Roboto" w:cs="Times New Roman"/>
                <w:sz w:val="24"/>
                <w:szCs w:val="24"/>
                <w:lang w:val="ro-RO"/>
              </w:rPr>
              <w:t>aplicabil în Uniunea Europeană.</w:t>
            </w:r>
            <w:r w:rsidRPr="00477FA4">
              <w:rPr>
                <w:rFonts w:ascii="Roboto" w:eastAsia="Times New Roman" w:hAnsi="Roboto" w:cs="Times New Roman"/>
                <w:sz w:val="24"/>
                <w:szCs w:val="24"/>
                <w:lang w:val="ro-RO"/>
              </w:rPr>
              <w:t xml:space="preserve"> Prin urmare, analiza unor </w:t>
            </w:r>
            <w:r w:rsidR="00A62D34" w:rsidRPr="00477FA4">
              <w:rPr>
                <w:rFonts w:ascii="Roboto" w:eastAsia="Times New Roman" w:hAnsi="Roboto" w:cs="Times New Roman"/>
                <w:sz w:val="24"/>
                <w:szCs w:val="24"/>
                <w:lang w:val="ro-RO"/>
              </w:rPr>
              <w:t>opțiuni</w:t>
            </w:r>
            <w:r w:rsidRPr="00477FA4">
              <w:rPr>
                <w:rFonts w:ascii="Roboto" w:eastAsia="Times New Roman" w:hAnsi="Roboto" w:cs="Times New Roman"/>
                <w:sz w:val="24"/>
                <w:szCs w:val="24"/>
                <w:lang w:val="ro-RO"/>
              </w:rPr>
              <w:t xml:space="preserve"> alternative nu se justifică.</w:t>
            </w:r>
          </w:p>
        </w:tc>
      </w:tr>
      <w:tr w:rsidR="00E41CDC" w:rsidRPr="00477FA4" w14:paraId="1BDA853E" w14:textId="77777777" w:rsidTr="00F058D1">
        <w:tc>
          <w:tcPr>
            <w:tcW w:w="5000" w:type="pct"/>
            <w:shd w:val="clear" w:color="auto" w:fill="AEAAAA" w:themeFill="background2" w:themeFillShade="BF"/>
          </w:tcPr>
          <w:p w14:paraId="0DC6BA02" w14:textId="0AE3F98A" w:rsidR="00E41CDC" w:rsidRPr="00477FA4" w:rsidRDefault="002C4B8B"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 Analiza impactului de reglementare</w:t>
            </w:r>
          </w:p>
        </w:tc>
      </w:tr>
      <w:tr w:rsidR="002C4B8B" w:rsidRPr="00477FA4" w14:paraId="01C4138F" w14:textId="77777777" w:rsidTr="00F058D1">
        <w:tc>
          <w:tcPr>
            <w:tcW w:w="5000" w:type="pct"/>
            <w:shd w:val="clear" w:color="auto" w:fill="E7E6E6" w:themeFill="background2"/>
          </w:tcPr>
          <w:p w14:paraId="4D9FAD31" w14:textId="6B7950FD" w:rsidR="002C4B8B" w:rsidRPr="00477FA4" w:rsidRDefault="002C4B8B"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4.1. Impactul asupra sectorului public</w:t>
            </w:r>
          </w:p>
        </w:tc>
      </w:tr>
      <w:tr w:rsidR="002C4B8B" w:rsidRPr="00477FA4" w14:paraId="60B49DDD" w14:textId="77777777" w:rsidTr="00F058D1">
        <w:tc>
          <w:tcPr>
            <w:tcW w:w="5000" w:type="pct"/>
            <w:shd w:val="clear" w:color="auto" w:fill="auto"/>
          </w:tcPr>
          <w:p w14:paraId="71017A10" w14:textId="3792724E" w:rsidR="002C4B8B" w:rsidRPr="00477FA4" w:rsidRDefault="002B6EB8" w:rsidP="00A34E60">
            <w:pPr>
              <w:spacing w:after="0" w:line="240" w:lineRule="auto"/>
              <w:rPr>
                <w:rFonts w:ascii="Roboto" w:eastAsia="Times New Roman" w:hAnsi="Roboto" w:cs="Times New Roman"/>
                <w:sz w:val="24"/>
                <w:szCs w:val="24"/>
                <w:lang w:val="it-CH"/>
              </w:rPr>
            </w:pPr>
            <w:r w:rsidRPr="00477FA4">
              <w:rPr>
                <w:rFonts w:ascii="Roboto" w:eastAsia="Times New Roman" w:hAnsi="Roboto" w:cs="Times New Roman"/>
                <w:sz w:val="24"/>
                <w:szCs w:val="24"/>
                <w:lang w:val="ro-RO"/>
              </w:rPr>
              <w:t>Nu este aplicabil</w:t>
            </w:r>
          </w:p>
        </w:tc>
      </w:tr>
      <w:tr w:rsidR="002C4B8B" w:rsidRPr="00477FA4" w14:paraId="720A05EC" w14:textId="77777777" w:rsidTr="00F058D1">
        <w:tc>
          <w:tcPr>
            <w:tcW w:w="5000" w:type="pct"/>
            <w:shd w:val="clear" w:color="auto" w:fill="E7E6E6" w:themeFill="background2"/>
          </w:tcPr>
          <w:p w14:paraId="5AFE8A3C" w14:textId="789E1E78" w:rsidR="002C4B8B" w:rsidRPr="00477FA4" w:rsidRDefault="002C4B8B"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4.2. Impactul financiar și argumentarea costurilor estimative</w:t>
            </w:r>
          </w:p>
        </w:tc>
      </w:tr>
      <w:tr w:rsidR="002C4B8B" w:rsidRPr="00477FA4" w14:paraId="5DA894C7" w14:textId="77777777" w:rsidTr="00F058D1">
        <w:tc>
          <w:tcPr>
            <w:tcW w:w="5000" w:type="pct"/>
            <w:shd w:val="clear" w:color="auto" w:fill="auto"/>
          </w:tcPr>
          <w:p w14:paraId="51AFBB12" w14:textId="781C1CE3" w:rsidR="002C4B8B" w:rsidRPr="00477FA4" w:rsidRDefault="00E06C2E" w:rsidP="00A34E60">
            <w:pPr>
              <w:spacing w:after="0" w:line="240" w:lineRule="auto"/>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RO"/>
              </w:rPr>
              <w:t>Nu este aplicabil</w:t>
            </w:r>
          </w:p>
        </w:tc>
      </w:tr>
      <w:tr w:rsidR="002C4B8B" w:rsidRPr="00477FA4" w14:paraId="65DCA13B" w14:textId="77777777" w:rsidTr="00F058D1">
        <w:tc>
          <w:tcPr>
            <w:tcW w:w="5000" w:type="pct"/>
            <w:shd w:val="clear" w:color="auto" w:fill="E7E6E6" w:themeFill="background2"/>
          </w:tcPr>
          <w:p w14:paraId="3BD141F8" w14:textId="62F4F880" w:rsidR="002C4B8B" w:rsidRPr="00477FA4" w:rsidRDefault="00F65AF4"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4.3. Impactul asupra sectorului privat</w:t>
            </w:r>
          </w:p>
        </w:tc>
      </w:tr>
      <w:tr w:rsidR="002C4B8B" w:rsidRPr="00477FA4" w14:paraId="17655915" w14:textId="77777777" w:rsidTr="00F058D1">
        <w:tc>
          <w:tcPr>
            <w:tcW w:w="5000" w:type="pct"/>
            <w:shd w:val="clear" w:color="auto" w:fill="auto"/>
          </w:tcPr>
          <w:p w14:paraId="294A0317" w14:textId="2D77B050" w:rsidR="000A79D5" w:rsidRPr="00477FA4" w:rsidRDefault="00E06C2E" w:rsidP="00A34E60">
            <w:pPr>
              <w:pStyle w:val="NormalWeb"/>
              <w:spacing w:before="0" w:beforeAutospacing="0" w:after="0" w:afterAutospacing="0"/>
              <w:jc w:val="both"/>
              <w:rPr>
                <w:rFonts w:ascii="Roboto" w:hAnsi="Roboto"/>
                <w:lang w:val="ro-RO"/>
              </w:rPr>
            </w:pPr>
            <w:r w:rsidRPr="00477FA4">
              <w:rPr>
                <w:rFonts w:ascii="Roboto" w:hAnsi="Roboto"/>
                <w:lang w:val="ro-RO"/>
              </w:rPr>
              <w:t xml:space="preserve">Proiectul hotărârii va conduce la crearea </w:t>
            </w:r>
            <w:r w:rsidR="00263749" w:rsidRPr="00477FA4">
              <w:rPr>
                <w:rFonts w:ascii="Roboto" w:hAnsi="Roboto"/>
                <w:lang w:val="ro-RO"/>
              </w:rPr>
              <w:t xml:space="preserve">unui cadru armonizat cu </w:t>
            </w:r>
            <w:r w:rsidR="00344DB5" w:rsidRPr="00477FA4">
              <w:rPr>
                <w:rFonts w:ascii="Roboto" w:hAnsi="Roboto"/>
                <w:lang w:val="ro-RO"/>
              </w:rPr>
              <w:t xml:space="preserve">normele </w:t>
            </w:r>
            <w:r w:rsidR="00263749" w:rsidRPr="00477FA4">
              <w:rPr>
                <w:rFonts w:ascii="Roboto" w:hAnsi="Roboto"/>
                <w:lang w:val="ro-RO"/>
              </w:rPr>
              <w:t>UE aferent nivelului de aplicare a cerințelor prudențiale.</w:t>
            </w:r>
          </w:p>
        </w:tc>
      </w:tr>
      <w:tr w:rsidR="002C4B8B" w:rsidRPr="00477FA4" w14:paraId="5D9EF034" w14:textId="77777777" w:rsidTr="00F058D1">
        <w:tc>
          <w:tcPr>
            <w:tcW w:w="5000" w:type="pct"/>
            <w:shd w:val="clear" w:color="auto" w:fill="E7E6E6" w:themeFill="background2"/>
          </w:tcPr>
          <w:p w14:paraId="27A09680" w14:textId="77777777" w:rsidR="00F65AF4" w:rsidRPr="00477FA4" w:rsidRDefault="00F65AF4"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 xml:space="preserve">4.4. Impactul social </w:t>
            </w:r>
          </w:p>
          <w:p w14:paraId="63D781E4" w14:textId="570008B8" w:rsidR="002C4B8B" w:rsidRPr="00477FA4" w:rsidRDefault="00F65AF4"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 xml:space="preserve">4.4.1. Impactul asupra datelor cu caracter personal </w:t>
            </w:r>
          </w:p>
        </w:tc>
      </w:tr>
      <w:tr w:rsidR="002C4B8B" w:rsidRPr="00477FA4" w14:paraId="4E5B0347" w14:textId="77777777" w:rsidTr="00F058D1">
        <w:tc>
          <w:tcPr>
            <w:tcW w:w="5000" w:type="pct"/>
            <w:shd w:val="clear" w:color="auto" w:fill="auto"/>
          </w:tcPr>
          <w:p w14:paraId="6B2039EC" w14:textId="0BD1519C" w:rsidR="002C4B8B" w:rsidRPr="00477FA4" w:rsidRDefault="00F65AF4" w:rsidP="00A34E60">
            <w:pPr>
              <w:tabs>
                <w:tab w:val="left" w:pos="884"/>
                <w:tab w:val="left" w:pos="1196"/>
              </w:tabs>
              <w:spacing w:after="0" w:line="240" w:lineRule="auto"/>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Nu este aplicabil</w:t>
            </w:r>
          </w:p>
        </w:tc>
      </w:tr>
      <w:tr w:rsidR="00E23DF2" w:rsidRPr="00477FA4" w14:paraId="5094310C" w14:textId="77777777" w:rsidTr="00F058D1">
        <w:tc>
          <w:tcPr>
            <w:tcW w:w="5000" w:type="pct"/>
            <w:shd w:val="clear" w:color="auto" w:fill="E7E6E6" w:themeFill="background2"/>
          </w:tcPr>
          <w:p w14:paraId="13C390BC" w14:textId="0EA82DEB" w:rsidR="00E23DF2" w:rsidRPr="00477FA4" w:rsidRDefault="00E23DF2"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4.4.2. Impactul asupra echității și egalității de gen</w:t>
            </w:r>
          </w:p>
        </w:tc>
      </w:tr>
      <w:tr w:rsidR="00E23DF2" w:rsidRPr="00477FA4" w14:paraId="578D2282" w14:textId="77777777" w:rsidTr="00F058D1">
        <w:tc>
          <w:tcPr>
            <w:tcW w:w="5000" w:type="pct"/>
            <w:shd w:val="clear" w:color="auto" w:fill="auto"/>
          </w:tcPr>
          <w:p w14:paraId="45E0AE57" w14:textId="18F08F52" w:rsidR="00E23DF2" w:rsidRPr="00477FA4" w:rsidRDefault="008A7C63" w:rsidP="00A34E60">
            <w:pPr>
              <w:tabs>
                <w:tab w:val="left" w:pos="884"/>
                <w:tab w:val="left" w:pos="1196"/>
              </w:tabs>
              <w:spacing w:after="0" w:line="240" w:lineRule="auto"/>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Nu este aplicabil</w:t>
            </w:r>
          </w:p>
        </w:tc>
      </w:tr>
      <w:tr w:rsidR="00F65AF4" w:rsidRPr="00477FA4" w14:paraId="1D81B03F" w14:textId="77777777" w:rsidTr="00F058D1">
        <w:tc>
          <w:tcPr>
            <w:tcW w:w="5000" w:type="pct"/>
            <w:shd w:val="clear" w:color="auto" w:fill="E7E6E6" w:themeFill="background2"/>
          </w:tcPr>
          <w:p w14:paraId="11DB1A03" w14:textId="285AEDDC" w:rsidR="00F65AF4" w:rsidRPr="00477FA4" w:rsidRDefault="00F65AF4" w:rsidP="00A34E60">
            <w:pPr>
              <w:tabs>
                <w:tab w:val="left" w:pos="884"/>
                <w:tab w:val="left" w:pos="1196"/>
              </w:tabs>
              <w:spacing w:after="0" w:line="240" w:lineRule="auto"/>
              <w:ind w:firstLine="284"/>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4.5. Impactul asupra mediului</w:t>
            </w:r>
          </w:p>
        </w:tc>
      </w:tr>
      <w:tr w:rsidR="00F65AF4" w:rsidRPr="00477FA4" w14:paraId="469C7E82" w14:textId="77777777" w:rsidTr="00F058D1">
        <w:tc>
          <w:tcPr>
            <w:tcW w:w="5000" w:type="pct"/>
            <w:shd w:val="clear" w:color="auto" w:fill="auto"/>
          </w:tcPr>
          <w:p w14:paraId="7652192B" w14:textId="5AA577C4" w:rsidR="00190E2A" w:rsidRPr="00477FA4" w:rsidRDefault="008A7C63" w:rsidP="00A34E60">
            <w:pPr>
              <w:tabs>
                <w:tab w:val="left" w:pos="884"/>
                <w:tab w:val="left" w:pos="1196"/>
              </w:tabs>
              <w:spacing w:after="0" w:line="240" w:lineRule="auto"/>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Nu este aplicabil</w:t>
            </w:r>
          </w:p>
        </w:tc>
      </w:tr>
      <w:tr w:rsidR="00F65AF4" w:rsidRPr="00477FA4" w14:paraId="04CD4EDF" w14:textId="77777777" w:rsidTr="00F058D1">
        <w:tc>
          <w:tcPr>
            <w:tcW w:w="5000" w:type="pct"/>
            <w:shd w:val="clear" w:color="auto" w:fill="E7E6E6" w:themeFill="background2"/>
          </w:tcPr>
          <w:p w14:paraId="4E85F9CF" w14:textId="25028D47" w:rsidR="00F65AF4" w:rsidRPr="00477FA4" w:rsidRDefault="00F65AF4" w:rsidP="00A34E60">
            <w:pPr>
              <w:tabs>
                <w:tab w:val="left" w:pos="884"/>
                <w:tab w:val="left" w:pos="1196"/>
              </w:tabs>
              <w:spacing w:after="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4.6. Alte impacturi și informații relevante</w:t>
            </w:r>
          </w:p>
        </w:tc>
      </w:tr>
      <w:tr w:rsidR="00F65AF4" w:rsidRPr="00477FA4" w14:paraId="308411CE" w14:textId="77777777" w:rsidTr="00F058D1">
        <w:tc>
          <w:tcPr>
            <w:tcW w:w="5000" w:type="pct"/>
            <w:shd w:val="clear" w:color="auto" w:fill="auto"/>
          </w:tcPr>
          <w:p w14:paraId="5E926045" w14:textId="14005B65" w:rsidR="00F65AF4" w:rsidRPr="00477FA4" w:rsidRDefault="00E06C2E" w:rsidP="00A34E60">
            <w:pPr>
              <w:tabs>
                <w:tab w:val="left" w:pos="884"/>
                <w:tab w:val="left" w:pos="1196"/>
              </w:tabs>
              <w:spacing w:after="0" w:line="240" w:lineRule="auto"/>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Nu au fost identificate</w:t>
            </w:r>
          </w:p>
        </w:tc>
      </w:tr>
      <w:tr w:rsidR="00F65AF4" w:rsidRPr="00477FA4" w14:paraId="487A21B9" w14:textId="77777777" w:rsidTr="00F058D1">
        <w:tc>
          <w:tcPr>
            <w:tcW w:w="5000" w:type="pct"/>
            <w:shd w:val="clear" w:color="auto" w:fill="AEAAAA" w:themeFill="background2" w:themeFillShade="BF"/>
          </w:tcPr>
          <w:p w14:paraId="15E68B49" w14:textId="3249E086" w:rsidR="00F65AF4" w:rsidRPr="00477FA4" w:rsidRDefault="00F65AF4" w:rsidP="00A34E60">
            <w:pPr>
              <w:tabs>
                <w:tab w:val="left" w:pos="884"/>
                <w:tab w:val="left" w:pos="1196"/>
              </w:tabs>
              <w:spacing w:after="12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5. Compatibilitatea proiectului actului normativ cu legislația UE</w:t>
            </w:r>
          </w:p>
        </w:tc>
      </w:tr>
      <w:tr w:rsidR="00CB32A5" w:rsidRPr="00477FA4" w14:paraId="03F43722" w14:textId="77777777" w:rsidTr="00F058D1">
        <w:tc>
          <w:tcPr>
            <w:tcW w:w="5000" w:type="pct"/>
            <w:shd w:val="clear" w:color="auto" w:fill="E7E6E6" w:themeFill="background2"/>
          </w:tcPr>
          <w:p w14:paraId="4E14830C" w14:textId="3329BA2C" w:rsidR="00CB32A5" w:rsidRPr="00477FA4" w:rsidRDefault="00CB32A5" w:rsidP="00A34E60">
            <w:pPr>
              <w:tabs>
                <w:tab w:val="left" w:pos="884"/>
                <w:tab w:val="left" w:pos="1196"/>
              </w:tabs>
              <w:spacing w:after="120" w:line="240" w:lineRule="auto"/>
              <w:ind w:firstLine="28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lastRenderedPageBreak/>
              <w:t>5.1. Măsuri normative necesare pentru transpunerea actelor juridice ale UE în legislația națională</w:t>
            </w:r>
          </w:p>
        </w:tc>
      </w:tr>
      <w:tr w:rsidR="00CB32A5" w:rsidRPr="00477FA4" w14:paraId="5AB262B0" w14:textId="77777777" w:rsidTr="00F058D1">
        <w:tc>
          <w:tcPr>
            <w:tcW w:w="5000" w:type="pct"/>
            <w:shd w:val="clear" w:color="auto" w:fill="FFFFFF" w:themeFill="background1"/>
          </w:tcPr>
          <w:p w14:paraId="442256E8" w14:textId="475AFF5F" w:rsidR="00D95D6B" w:rsidRPr="00477FA4" w:rsidRDefault="00D95D6B"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La nivelul Uniunii Europene a fost adoptat Regulamentul (UE) nr. 575/2013 al Parlamentului European și al Consiliului din 26 iunie 2013 privind cerințele prudențiale pentru instituțiile de credit și de modificare a Regulamentului (UE) nr. 648/2012, care are drept obiectiv instituirea unui cadru juridic privind cerințele prudențiale aplicabile instituțiilor de credit. În acest context, în proiectul hotărârii au fost transpuse prevederile</w:t>
            </w:r>
            <w:r w:rsidR="00231B0A" w:rsidRPr="00477FA4">
              <w:rPr>
                <w:rFonts w:ascii="Roboto" w:hAnsi="Roboto"/>
                <w:lang w:val="ro-MD"/>
              </w:rPr>
              <w:t xml:space="preserve"> art.4</w:t>
            </w:r>
            <w:r w:rsidRPr="00477FA4">
              <w:rPr>
                <w:rFonts w:ascii="Roboto" w:hAnsi="Roboto"/>
                <w:lang w:val="ro-MD"/>
              </w:rPr>
              <w:t xml:space="preserve"> </w:t>
            </w:r>
            <w:r w:rsidR="00231B0A" w:rsidRPr="00477FA4">
              <w:rPr>
                <w:rFonts w:ascii="Roboto" w:hAnsi="Roboto"/>
                <w:lang w:val="ro-MD"/>
              </w:rPr>
              <w:t>(pct. 20a, 23, 24 și pct. 135)</w:t>
            </w:r>
            <w:r w:rsidRPr="00477FA4">
              <w:rPr>
                <w:rFonts w:ascii="Roboto" w:hAnsi="Roboto"/>
                <w:lang w:val="ro-MD"/>
              </w:rPr>
              <w:t>, art. 6–14, art. 18 alin. (1)–(8), art. 19, art. 20 alin. (1)–(7) și art. 21–23 din Regulamentul (UE) nr. 575/2013, care au drept scop stabilirea nivelului de aplicare a cerințelor prudențiale</w:t>
            </w:r>
            <w:r w:rsidR="00B76165" w:rsidRPr="00477FA4">
              <w:rPr>
                <w:rFonts w:ascii="Roboto" w:hAnsi="Roboto"/>
                <w:lang w:val="ro-MD"/>
              </w:rPr>
              <w:t>, precum și prevederile art. 123 alin. (2) și art. 144 alin. (2)–(3) din 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w:t>
            </w:r>
          </w:p>
          <w:p w14:paraId="542F35D4" w14:textId="31834BB1" w:rsidR="00D95D6B" w:rsidRPr="00477FA4" w:rsidRDefault="00D95D6B"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În conformitate cu prevederile art. 31 alin. (4) din Legea nr. 100/2017 cu privire la actele normative (în continuare – Legea nr. 100/2017) și ale Regulamentului privind armonizarea legislației Republicii Moldova cu legislația Uniunii Europene, aprobat prin Hotărârea Guvernului nr. 1171/2018, a fost elaborat tabelul de concordanță aferent prevederilor art. 4 pct. 20a</w:t>
            </w:r>
            <w:r w:rsidR="00A34E60" w:rsidRPr="00477FA4">
              <w:rPr>
                <w:rFonts w:ascii="Roboto" w:hAnsi="Roboto"/>
                <w:lang w:val="ro-MD"/>
              </w:rPr>
              <w:t>, 23, 24</w:t>
            </w:r>
            <w:r w:rsidRPr="00477FA4">
              <w:rPr>
                <w:rFonts w:ascii="Roboto" w:hAnsi="Roboto"/>
                <w:lang w:val="ro-MD"/>
              </w:rPr>
              <w:t xml:space="preserve"> și pct. 135, art. 6–14, art. 18 alin. (1)–(8), art. 19, art. 20 alin. (1)–(7) și art. 21–23 din Regulamentul (UE) nr. 575/2013, astfel cum a fost modificat prin Regulamentul (UE) 2024/1623</w:t>
            </w:r>
            <w:r w:rsidR="00B76165" w:rsidRPr="00477FA4">
              <w:rPr>
                <w:rFonts w:ascii="Roboto" w:hAnsi="Roboto"/>
                <w:lang w:val="ro-MD"/>
              </w:rPr>
              <w:t>, precum și prevederilor art. 123 alin. (2) și art. 144 alin. (2)–(3) din Directiva 2013/36/UE.</w:t>
            </w:r>
          </w:p>
          <w:p w14:paraId="50795B5A" w14:textId="2D5492A9" w:rsidR="00263749" w:rsidRPr="00477FA4" w:rsidRDefault="00D95D6B" w:rsidP="00A34E60">
            <w:pPr>
              <w:pStyle w:val="NormalWeb"/>
              <w:spacing w:before="0" w:beforeAutospacing="0" w:after="0" w:afterAutospacing="0"/>
              <w:ind w:firstLine="594"/>
              <w:jc w:val="both"/>
              <w:rPr>
                <w:rFonts w:ascii="Roboto" w:hAnsi="Roboto"/>
                <w:lang w:val="ro-MD"/>
              </w:rPr>
            </w:pPr>
            <w:r w:rsidRPr="00477FA4">
              <w:rPr>
                <w:rFonts w:ascii="Roboto" w:hAnsi="Roboto"/>
                <w:lang w:val="ro-MD"/>
              </w:rPr>
              <w:t>Totodată, proiectul transpune</w:t>
            </w:r>
            <w:r w:rsidR="00B76165" w:rsidRPr="00477FA4">
              <w:rPr>
                <w:rFonts w:ascii="Roboto" w:hAnsi="Roboto"/>
                <w:lang w:val="ro-MD"/>
              </w:rPr>
              <w:t xml:space="preserve">, prin Anexă la proiectul de regulament, </w:t>
            </w:r>
            <w:r w:rsidRPr="00477FA4">
              <w:rPr>
                <w:rFonts w:ascii="Roboto" w:hAnsi="Roboto"/>
                <w:lang w:val="ro-MD"/>
              </w:rPr>
              <w:t>prevederile Regulamentului delegat (UE) 2022/676 în ceea ce privește standardele tehnice de reglementare care precizează condițiile în care trebuie efectuată consolidarea în cazurile menționate la articolul 18 alineatele (3)–(6) și la articolul 18 alineatul (8) din Regulamentul (UE) nr. 575/2013.</w:t>
            </w:r>
          </w:p>
        </w:tc>
      </w:tr>
      <w:tr w:rsidR="00CB32A5" w:rsidRPr="00477FA4" w14:paraId="29FAD532" w14:textId="77777777" w:rsidTr="00F058D1">
        <w:tc>
          <w:tcPr>
            <w:tcW w:w="5000" w:type="pct"/>
            <w:shd w:val="clear" w:color="auto" w:fill="E7E6E6" w:themeFill="background2"/>
          </w:tcPr>
          <w:p w14:paraId="334CF25E" w14:textId="0075D67F" w:rsidR="00CB32A5" w:rsidRPr="00477FA4" w:rsidRDefault="00CB32A5" w:rsidP="00A34E60">
            <w:pPr>
              <w:tabs>
                <w:tab w:val="left" w:pos="884"/>
                <w:tab w:val="left" w:pos="1196"/>
              </w:tabs>
              <w:spacing w:after="120" w:line="240" w:lineRule="auto"/>
              <w:ind w:firstLine="284"/>
              <w:jc w:val="both"/>
              <w:rPr>
                <w:rFonts w:ascii="Roboto" w:eastAsia="Times New Roman" w:hAnsi="Roboto" w:cs="Times New Roman"/>
                <w:sz w:val="24"/>
                <w:szCs w:val="24"/>
                <w:lang w:val="it-CH"/>
              </w:rPr>
            </w:pPr>
            <w:r w:rsidRPr="00477FA4">
              <w:rPr>
                <w:rFonts w:ascii="Roboto" w:eastAsia="Times New Roman" w:hAnsi="Roboto" w:cs="Times New Roman"/>
                <w:sz w:val="24"/>
                <w:szCs w:val="24"/>
                <w:lang w:val="ro-MD"/>
              </w:rPr>
              <w:t>5.2. Măsuri normative care urmăresc crearea cadrului juridic intern necesar pentru implementarea legislației UE</w:t>
            </w:r>
          </w:p>
        </w:tc>
      </w:tr>
      <w:tr w:rsidR="00CB32A5" w:rsidRPr="00477FA4" w14:paraId="56D41890" w14:textId="77777777" w:rsidTr="00F058D1">
        <w:tc>
          <w:tcPr>
            <w:tcW w:w="5000" w:type="pct"/>
            <w:shd w:val="clear" w:color="auto" w:fill="FFFFFF" w:themeFill="background1"/>
          </w:tcPr>
          <w:p w14:paraId="01E20485" w14:textId="2C85A591" w:rsidR="00CB32A5" w:rsidRPr="00477FA4" w:rsidRDefault="00263749" w:rsidP="00A34E60">
            <w:pPr>
              <w:tabs>
                <w:tab w:val="left" w:pos="884"/>
                <w:tab w:val="left" w:pos="1196"/>
              </w:tabs>
              <w:spacing w:after="0" w:line="240" w:lineRule="auto"/>
              <w:ind w:firstLine="594"/>
              <w:jc w:val="both"/>
              <w:rPr>
                <w:rFonts w:ascii="Roboto" w:eastAsia="Times New Roman" w:hAnsi="Roboto" w:cs="Times New Roman"/>
                <w:sz w:val="24"/>
                <w:szCs w:val="24"/>
                <w:highlight w:val="yellow"/>
                <w:lang w:val="it-CH"/>
              </w:rPr>
            </w:pPr>
            <w:r w:rsidRPr="00477FA4">
              <w:rPr>
                <w:rFonts w:ascii="Roboto" w:eastAsia="Times New Roman" w:hAnsi="Roboto" w:cs="Times New Roman"/>
                <w:sz w:val="24"/>
                <w:szCs w:val="24"/>
                <w:lang w:val="ro-MD"/>
              </w:rPr>
              <w:t>În contextul angajamentelor asumate de Republica Moldova în procesul de armonizare a legislației naționale cu acquis-</w:t>
            </w:r>
            <w:proofErr w:type="spellStart"/>
            <w:r w:rsidRPr="00477FA4">
              <w:rPr>
                <w:rFonts w:ascii="Roboto" w:eastAsia="Times New Roman" w:hAnsi="Roboto" w:cs="Times New Roman"/>
                <w:sz w:val="24"/>
                <w:szCs w:val="24"/>
                <w:lang w:val="ro-MD"/>
              </w:rPr>
              <w:t>ul</w:t>
            </w:r>
            <w:proofErr w:type="spellEnd"/>
            <w:r w:rsidRPr="00477FA4">
              <w:rPr>
                <w:rFonts w:ascii="Roboto" w:eastAsia="Times New Roman" w:hAnsi="Roboto" w:cs="Times New Roman"/>
                <w:sz w:val="24"/>
                <w:szCs w:val="24"/>
                <w:lang w:val="ro-MD"/>
              </w:rPr>
              <w:t xml:space="preserve"> Uniunii Europene, se impune transpunerea totală a dispozițiilor Regulamentului (UE) nr. 575/2013 al Parlamentului European și al Consiliului din 26 iunie 2013 privind cerințele prudențiale pentru instituțiile de credit și de modificare a Regulamentului (UE) nr. 648/2012</w:t>
            </w:r>
            <w:r w:rsidR="00E12260" w:rsidRPr="00477FA4">
              <w:rPr>
                <w:rFonts w:ascii="Roboto" w:eastAsia="Times New Roman" w:hAnsi="Roboto" w:cs="Times New Roman"/>
                <w:sz w:val="24"/>
                <w:szCs w:val="24"/>
                <w:lang w:val="ro-MD"/>
              </w:rPr>
              <w:t>, Directivei</w:t>
            </w:r>
            <w:r w:rsidR="00E12260" w:rsidRPr="00477FA4">
              <w:rPr>
                <w:rFonts w:ascii="Roboto" w:eastAsia="Times New Roman" w:hAnsi="Roboto" w:cs="Times New Roman"/>
                <w:sz w:val="24"/>
                <w:szCs w:val="24"/>
              </w:rPr>
              <w:t xml:space="preserve"> 2013/36</w:t>
            </w:r>
            <w:r w:rsidR="003A5D34" w:rsidRPr="00477FA4">
              <w:rPr>
                <w:rFonts w:ascii="Roboto" w:eastAsia="Times New Roman" w:hAnsi="Roboto" w:cs="Times New Roman"/>
                <w:sz w:val="24"/>
                <w:szCs w:val="24"/>
              </w:rPr>
              <w:t xml:space="preserve"> </w:t>
            </w:r>
            <w:r w:rsidR="003A5D34" w:rsidRPr="00477FA4">
              <w:rPr>
                <w:rFonts w:ascii="Roboto" w:eastAsia="Times New Roman" w:hAnsi="Roboto" w:cs="Times New Roman"/>
                <w:sz w:val="24"/>
                <w:szCs w:val="24"/>
                <w:lang w:val="ro-MD"/>
              </w:rPr>
              <w:t>a Parlamentului European și a Consiliului din 26 iunie 2013 cu privire la accesul la activitatea instituțiilor de credit și supravegherea prudențială a instituțiilor de</w:t>
            </w:r>
            <w:r w:rsidR="003A5D34" w:rsidRPr="00477FA4">
              <w:rPr>
                <w:rFonts w:ascii="Roboto" w:eastAsia="Times New Roman" w:hAnsi="Roboto" w:cs="Times New Roman"/>
                <w:sz w:val="24"/>
                <w:szCs w:val="24"/>
              </w:rPr>
              <w:t xml:space="preserve"> credit </w:t>
            </w:r>
            <w:proofErr w:type="spellStart"/>
            <w:r w:rsidR="003A5D34" w:rsidRPr="00477FA4">
              <w:rPr>
                <w:rFonts w:ascii="Roboto" w:eastAsia="Times New Roman" w:hAnsi="Roboto" w:cs="Times New Roman"/>
                <w:sz w:val="24"/>
                <w:szCs w:val="24"/>
              </w:rPr>
              <w:t>și</w:t>
            </w:r>
            <w:proofErr w:type="spellEnd"/>
            <w:r w:rsidR="003A5D34" w:rsidRPr="00477FA4">
              <w:rPr>
                <w:rFonts w:ascii="Roboto" w:eastAsia="Times New Roman" w:hAnsi="Roboto" w:cs="Times New Roman"/>
                <w:sz w:val="24"/>
                <w:szCs w:val="24"/>
              </w:rPr>
              <w:t xml:space="preserve"> a</w:t>
            </w:r>
            <w:r w:rsidR="00344DB5" w:rsidRPr="00477FA4">
              <w:rPr>
                <w:rFonts w:ascii="Roboto" w:eastAsia="Times New Roman" w:hAnsi="Roboto" w:cs="Times New Roman"/>
                <w:sz w:val="24"/>
                <w:szCs w:val="24"/>
              </w:rPr>
              <w:t xml:space="preserve">le </w:t>
            </w:r>
            <w:r w:rsidR="003A5D34" w:rsidRPr="00477FA4">
              <w:rPr>
                <w:rFonts w:ascii="Roboto" w:eastAsia="Times New Roman" w:hAnsi="Roboto" w:cs="Times New Roman"/>
                <w:sz w:val="24"/>
                <w:szCs w:val="24"/>
                <w:lang w:val="ro-MD"/>
              </w:rPr>
              <w:t xml:space="preserve">Regulamentului delegat (UE) 2022/676. </w:t>
            </w:r>
            <w:r w:rsidRPr="00477FA4">
              <w:rPr>
                <w:rFonts w:ascii="Roboto" w:eastAsia="Times New Roman" w:hAnsi="Roboto" w:cs="Times New Roman"/>
                <w:sz w:val="24"/>
                <w:szCs w:val="24"/>
                <w:lang w:val="it-CH"/>
              </w:rPr>
              <w:t>Necesitatea acestor măsuri normative derivă din obligația de aliniere la standardele europene în materia cerințelor prudențiale pentru instituțiile de credit.</w:t>
            </w:r>
          </w:p>
        </w:tc>
      </w:tr>
      <w:tr w:rsidR="00CB32A5" w:rsidRPr="00477FA4" w14:paraId="66BF4AD7" w14:textId="77777777" w:rsidTr="00F058D1">
        <w:tc>
          <w:tcPr>
            <w:tcW w:w="5000" w:type="pct"/>
            <w:shd w:val="clear" w:color="auto" w:fill="AEAAAA" w:themeFill="background2" w:themeFillShade="BF"/>
          </w:tcPr>
          <w:p w14:paraId="360130F0" w14:textId="00188397" w:rsidR="00CB32A5" w:rsidRPr="00477FA4" w:rsidRDefault="00CB32A5" w:rsidP="00A34E60">
            <w:pPr>
              <w:tabs>
                <w:tab w:val="left" w:pos="884"/>
                <w:tab w:val="left" w:pos="1196"/>
              </w:tabs>
              <w:spacing w:after="120" w:line="240" w:lineRule="auto"/>
              <w:ind w:firstLine="284"/>
              <w:jc w:val="both"/>
              <w:rPr>
                <w:rFonts w:ascii="Roboto" w:eastAsia="Times New Roman" w:hAnsi="Roboto" w:cs="Times New Roman"/>
                <w:b/>
                <w:bCs/>
                <w:sz w:val="24"/>
                <w:szCs w:val="24"/>
                <w:lang w:val="it-CH"/>
              </w:rPr>
            </w:pPr>
            <w:r w:rsidRPr="00477FA4">
              <w:rPr>
                <w:rFonts w:ascii="Roboto" w:eastAsia="Times New Roman" w:hAnsi="Roboto" w:cs="Times New Roman"/>
                <w:b/>
                <w:bCs/>
                <w:sz w:val="24"/>
                <w:szCs w:val="24"/>
                <w:lang w:val="ro-MD"/>
              </w:rPr>
              <w:t>6. Avizarea și consultarea publică a proiectului actului normativ</w:t>
            </w:r>
          </w:p>
        </w:tc>
      </w:tr>
      <w:tr w:rsidR="00CB32A5" w:rsidRPr="00477FA4" w14:paraId="5F89034C" w14:textId="77777777" w:rsidTr="00F058D1">
        <w:trPr>
          <w:trHeight w:val="736"/>
        </w:trPr>
        <w:tc>
          <w:tcPr>
            <w:tcW w:w="5000" w:type="pct"/>
            <w:shd w:val="clear" w:color="auto" w:fill="FFFFFF" w:themeFill="background1"/>
          </w:tcPr>
          <w:p w14:paraId="173FB37A" w14:textId="5149E2C3" w:rsidR="00CB32A5" w:rsidRPr="00477FA4" w:rsidRDefault="000F3661" w:rsidP="00A34E60">
            <w:pPr>
              <w:tabs>
                <w:tab w:val="left" w:pos="884"/>
                <w:tab w:val="left" w:pos="1196"/>
              </w:tabs>
              <w:spacing w:after="0" w:line="240" w:lineRule="auto"/>
              <w:ind w:firstLine="594"/>
              <w:jc w:val="both"/>
              <w:rPr>
                <w:rFonts w:ascii="Roboto" w:eastAsia="Times New Roman" w:hAnsi="Roboto" w:cs="Times New Roman"/>
                <w:sz w:val="24"/>
                <w:szCs w:val="24"/>
                <w:lang w:val="ro-RO"/>
              </w:rPr>
            </w:pPr>
            <w:r w:rsidRPr="00477FA4">
              <w:rPr>
                <w:rFonts w:ascii="Roboto" w:eastAsia="Times New Roman" w:hAnsi="Roboto" w:cs="Times New Roman"/>
                <w:sz w:val="24"/>
                <w:szCs w:val="24"/>
                <w:lang w:val="ro-RO"/>
              </w:rPr>
              <w:t>În scopul respectării prevederilor Legii nr.239/2008 privind transparența în procesul decizional</w:t>
            </w:r>
            <w:r w:rsidR="00344DB5" w:rsidRPr="00477FA4">
              <w:rPr>
                <w:rFonts w:ascii="Roboto" w:eastAsia="Times New Roman" w:hAnsi="Roboto" w:cs="Times New Roman"/>
                <w:sz w:val="24"/>
                <w:szCs w:val="24"/>
                <w:lang w:val="ro-RO"/>
              </w:rPr>
              <w:t>,</w:t>
            </w:r>
            <w:r w:rsidRPr="00477FA4">
              <w:rPr>
                <w:rFonts w:ascii="Roboto" w:eastAsia="Times New Roman" w:hAnsi="Roboto" w:cs="Times New Roman"/>
                <w:sz w:val="24"/>
                <w:szCs w:val="24"/>
                <w:lang w:val="ro-RO"/>
              </w:rPr>
              <w:t xml:space="preserve"> proiectul hotărârii urmează a fi supus consultării publice, prin plasarea pe pagina web a Băncii Naționale a Moldovei (www.bnm.md), la compartimentul „Legislație”, rubrica „Transparența decizională”. </w:t>
            </w:r>
          </w:p>
          <w:p w14:paraId="4A41F60C" w14:textId="466E163A" w:rsidR="00263749" w:rsidRPr="00477FA4" w:rsidRDefault="00263749" w:rsidP="00A34E60">
            <w:pPr>
              <w:tabs>
                <w:tab w:val="left" w:pos="884"/>
                <w:tab w:val="left" w:pos="1196"/>
              </w:tabs>
              <w:spacing w:after="0" w:line="240" w:lineRule="auto"/>
              <w:jc w:val="both"/>
              <w:rPr>
                <w:rFonts w:ascii="Roboto" w:eastAsia="Times New Roman" w:hAnsi="Roboto" w:cs="Times New Roman"/>
                <w:sz w:val="24"/>
                <w:szCs w:val="24"/>
                <w:lang w:val="ro-RO"/>
              </w:rPr>
            </w:pPr>
            <w:r w:rsidRPr="00477FA4">
              <w:rPr>
                <w:rFonts w:ascii="Roboto" w:eastAsia="Times New Roman" w:hAnsi="Roboto" w:cs="Times New Roman"/>
                <w:sz w:val="24"/>
                <w:szCs w:val="24"/>
                <w:lang w:val="ro-RO"/>
              </w:rPr>
              <w:lastRenderedPageBreak/>
              <w:t>În baza propunerilor și obiecțiilor părților interesate se va întocmi sinteza obiecțiilor și propunerilor/recomandărilor la proiectul hotărârii.</w:t>
            </w:r>
          </w:p>
        </w:tc>
      </w:tr>
      <w:tr w:rsidR="00CB32A5" w:rsidRPr="00477FA4" w14:paraId="71976629" w14:textId="77777777" w:rsidTr="00F058D1">
        <w:tc>
          <w:tcPr>
            <w:tcW w:w="5000" w:type="pct"/>
            <w:shd w:val="clear" w:color="auto" w:fill="AEAAAA" w:themeFill="background2" w:themeFillShade="BF"/>
          </w:tcPr>
          <w:p w14:paraId="7642893A" w14:textId="43DB38E8" w:rsidR="00CB32A5" w:rsidRPr="00477FA4" w:rsidRDefault="00CB32A5" w:rsidP="00A34E60">
            <w:pPr>
              <w:tabs>
                <w:tab w:val="left" w:pos="884"/>
                <w:tab w:val="left" w:pos="1196"/>
              </w:tabs>
              <w:spacing w:after="120" w:line="240" w:lineRule="auto"/>
              <w:ind w:firstLine="284"/>
              <w:jc w:val="both"/>
              <w:rPr>
                <w:rFonts w:ascii="Roboto" w:eastAsia="Times New Roman" w:hAnsi="Roboto" w:cs="Times New Roman"/>
                <w:b/>
                <w:bCs/>
                <w:sz w:val="24"/>
                <w:szCs w:val="24"/>
                <w:lang w:val="ro-MD"/>
              </w:rPr>
            </w:pPr>
            <w:r w:rsidRPr="00477FA4">
              <w:rPr>
                <w:rFonts w:ascii="Roboto" w:hAnsi="Roboto" w:cs="Times New Roman"/>
                <w:b/>
                <w:bCs/>
                <w:sz w:val="24"/>
                <w:szCs w:val="24"/>
              </w:rPr>
              <w:lastRenderedPageBreak/>
              <w:t>7. Concluziile expertizelor</w:t>
            </w:r>
          </w:p>
        </w:tc>
      </w:tr>
      <w:tr w:rsidR="00CB32A5" w:rsidRPr="00477FA4" w14:paraId="55AFD875" w14:textId="77777777" w:rsidTr="00F058D1">
        <w:tc>
          <w:tcPr>
            <w:tcW w:w="5000" w:type="pct"/>
            <w:shd w:val="clear" w:color="auto" w:fill="FFFFFF" w:themeFill="background1"/>
          </w:tcPr>
          <w:p w14:paraId="6B8D871A" w14:textId="77BE192F" w:rsidR="00E12260" w:rsidRPr="00477FA4" w:rsidRDefault="003C785C" w:rsidP="00A34E60">
            <w:pPr>
              <w:tabs>
                <w:tab w:val="left" w:pos="884"/>
                <w:tab w:val="left" w:pos="1196"/>
              </w:tabs>
              <w:spacing w:after="0" w:line="240" w:lineRule="auto"/>
              <w:ind w:firstLine="59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Proiectul de hotărâre, însoțit de tabel</w:t>
            </w:r>
            <w:r w:rsidR="00962EDF" w:rsidRPr="00477FA4">
              <w:rPr>
                <w:rFonts w:ascii="Roboto" w:eastAsia="Times New Roman" w:hAnsi="Roboto" w:cs="Times New Roman"/>
                <w:sz w:val="24"/>
                <w:szCs w:val="24"/>
                <w:lang w:val="ro-MD"/>
              </w:rPr>
              <w:t>ele</w:t>
            </w:r>
            <w:r w:rsidRPr="00477FA4">
              <w:rPr>
                <w:rFonts w:ascii="Roboto" w:eastAsia="Times New Roman" w:hAnsi="Roboto" w:cs="Times New Roman"/>
                <w:sz w:val="24"/>
                <w:szCs w:val="24"/>
                <w:lang w:val="ro-MD"/>
              </w:rPr>
              <w:t xml:space="preserve"> de concordanță, se va expedia Centrului de Armonizare a Legislației în vederea efectuării expertizei de compatibilitate cu legislația Uniunii Europene, conform prevederilor art.34 alin.(1) și art.35 din Legea nr.100/2017. Totodată, în temeiul art. 11 alin. (3</w:t>
            </w:r>
            <w:r w:rsidRPr="00477FA4">
              <w:rPr>
                <w:rFonts w:ascii="Roboto" w:eastAsia="Times New Roman" w:hAnsi="Roboto" w:cs="Times New Roman"/>
                <w:sz w:val="24"/>
                <w:szCs w:val="24"/>
                <w:vertAlign w:val="superscript"/>
                <w:lang w:val="ro-MD"/>
              </w:rPr>
              <w:t>3</w:t>
            </w:r>
            <w:r w:rsidRPr="00477FA4">
              <w:rPr>
                <w:rFonts w:ascii="Roboto" w:eastAsia="Times New Roman" w:hAnsi="Roboto" w:cs="Times New Roman"/>
                <w:sz w:val="24"/>
                <w:szCs w:val="24"/>
                <w:lang w:val="ro-MD"/>
              </w:rPr>
              <w:t xml:space="preserve"> ) din Legea nr.548/1995 se va solicita o opinie cu caracter consultativ din partea Ministerului Justiției.</w:t>
            </w:r>
          </w:p>
          <w:p w14:paraId="4B45F409" w14:textId="372D3BE1" w:rsidR="00502118" w:rsidRPr="00477FA4" w:rsidRDefault="003C785C" w:rsidP="00A34E60">
            <w:pPr>
              <w:tabs>
                <w:tab w:val="left" w:pos="884"/>
                <w:tab w:val="left" w:pos="1196"/>
              </w:tabs>
              <w:spacing w:after="0" w:line="240" w:lineRule="auto"/>
              <w:ind w:firstLine="59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ro-MD"/>
              </w:rPr>
              <w:t>Conform art.36 alin.</w:t>
            </w:r>
            <w:r w:rsidR="00962EDF" w:rsidRPr="00477FA4">
              <w:rPr>
                <w:rFonts w:ascii="Roboto" w:eastAsia="Times New Roman" w:hAnsi="Roboto" w:cs="Times New Roman"/>
                <w:sz w:val="24"/>
                <w:szCs w:val="24"/>
                <w:lang w:val="ro-MD"/>
              </w:rPr>
              <w:t xml:space="preserve"> </w:t>
            </w:r>
            <w:r w:rsidRPr="00477FA4">
              <w:rPr>
                <w:rFonts w:ascii="Roboto" w:eastAsia="Times New Roman" w:hAnsi="Roboto" w:cs="Times New Roman"/>
                <w:sz w:val="24"/>
                <w:szCs w:val="24"/>
                <w:lang w:val="ro-MD"/>
              </w:rPr>
              <w:t>(5)</w:t>
            </w:r>
            <w:r w:rsidR="006078C7" w:rsidRPr="00477FA4">
              <w:rPr>
                <w:rFonts w:ascii="Roboto" w:eastAsia="Times New Roman" w:hAnsi="Roboto" w:cs="Times New Roman"/>
                <w:sz w:val="24"/>
                <w:szCs w:val="24"/>
                <w:lang w:val="ro-MD"/>
              </w:rPr>
              <w:t xml:space="preserve"> </w:t>
            </w:r>
            <w:r w:rsidRPr="00477FA4">
              <w:rPr>
                <w:rFonts w:ascii="Roboto" w:eastAsia="Times New Roman" w:hAnsi="Roboto" w:cs="Times New Roman"/>
                <w:sz w:val="24"/>
                <w:szCs w:val="24"/>
                <w:lang w:val="ro-MD"/>
              </w:rPr>
              <w:t>din Legea nr.100/2017, proiectul hotărârii a fost supus expertizei anticorupție în cadrul Băncii Naționale a Moldovei, în urma căreia factori și riscuri de corupție nu au fost identificate.</w:t>
            </w:r>
          </w:p>
        </w:tc>
      </w:tr>
      <w:tr w:rsidR="00CB32A5" w:rsidRPr="00477FA4" w14:paraId="3A1BF2CC" w14:textId="77777777" w:rsidTr="00F058D1">
        <w:tc>
          <w:tcPr>
            <w:tcW w:w="5000" w:type="pct"/>
            <w:shd w:val="clear" w:color="auto" w:fill="AEAAAA" w:themeFill="background2" w:themeFillShade="BF"/>
          </w:tcPr>
          <w:p w14:paraId="398B8FE4" w14:textId="36A9DF1A" w:rsidR="00CB32A5" w:rsidRPr="00477FA4" w:rsidRDefault="00CB32A5" w:rsidP="00A34E60">
            <w:pPr>
              <w:tabs>
                <w:tab w:val="left" w:pos="884"/>
                <w:tab w:val="left" w:pos="1196"/>
              </w:tabs>
              <w:spacing w:after="120" w:line="240" w:lineRule="auto"/>
              <w:ind w:firstLine="284"/>
              <w:jc w:val="both"/>
              <w:rPr>
                <w:rFonts w:ascii="Roboto" w:hAnsi="Roboto" w:cs="Times New Roman"/>
                <w:b/>
                <w:bCs/>
                <w:sz w:val="24"/>
                <w:szCs w:val="24"/>
                <w:lang w:val="pt-BR"/>
              </w:rPr>
            </w:pPr>
            <w:r w:rsidRPr="00477FA4">
              <w:rPr>
                <w:rFonts w:ascii="Roboto" w:hAnsi="Roboto" w:cs="Times New Roman"/>
                <w:b/>
                <w:bCs/>
                <w:sz w:val="24"/>
                <w:szCs w:val="24"/>
                <w:lang w:val="pt-BR"/>
              </w:rPr>
              <w:t>8. Modul de încorporare a actului în cadrul normativ existent</w:t>
            </w:r>
          </w:p>
        </w:tc>
      </w:tr>
      <w:tr w:rsidR="00CB32A5" w:rsidRPr="00477FA4" w14:paraId="21C74CC3" w14:textId="77777777" w:rsidTr="00F058D1">
        <w:tc>
          <w:tcPr>
            <w:tcW w:w="5000" w:type="pct"/>
            <w:shd w:val="clear" w:color="auto" w:fill="FFFFFF" w:themeFill="background1"/>
          </w:tcPr>
          <w:p w14:paraId="020F3F28" w14:textId="77777777" w:rsidR="006078C7" w:rsidRPr="00477FA4" w:rsidRDefault="003C785C" w:rsidP="00A34E60">
            <w:pPr>
              <w:tabs>
                <w:tab w:val="left" w:pos="884"/>
                <w:tab w:val="left" w:pos="1196"/>
              </w:tabs>
              <w:spacing w:after="0" w:line="240" w:lineRule="auto"/>
              <w:ind w:firstLine="594"/>
              <w:jc w:val="both"/>
              <w:rPr>
                <w:rFonts w:ascii="Roboto" w:eastAsia="Times New Roman" w:hAnsi="Roboto" w:cs="Times New Roman"/>
                <w:sz w:val="24"/>
                <w:szCs w:val="24"/>
                <w:lang w:val="ro-MD"/>
              </w:rPr>
            </w:pPr>
            <w:r w:rsidRPr="00477FA4">
              <w:rPr>
                <w:rFonts w:ascii="Roboto" w:eastAsia="Times New Roman" w:hAnsi="Roboto" w:cs="Times New Roman"/>
                <w:sz w:val="24"/>
                <w:szCs w:val="24"/>
                <w:lang w:val="pt-BR"/>
              </w:rPr>
              <w:t>Proiectul hotărârii nu afectează concepția generală ori caracterul unitar al actelor normative cu care se află în conexiune</w:t>
            </w:r>
            <w:r w:rsidRPr="00477FA4">
              <w:rPr>
                <w:rFonts w:ascii="Roboto" w:eastAsia="Times New Roman" w:hAnsi="Roboto" w:cs="Times New Roman"/>
                <w:sz w:val="24"/>
                <w:szCs w:val="24"/>
                <w:lang w:val="ro-MD"/>
              </w:rPr>
              <w:t xml:space="preserve">. </w:t>
            </w:r>
            <w:r w:rsidR="007F4B49" w:rsidRPr="00477FA4">
              <w:rPr>
                <w:rFonts w:ascii="Roboto" w:eastAsia="Times New Roman" w:hAnsi="Roboto" w:cs="Times New Roman"/>
                <w:sz w:val="24"/>
                <w:szCs w:val="24"/>
                <w:lang w:val="ro-MD"/>
              </w:rPr>
              <w:t>În același timp, aprobarea proiectului hotărârii implică abrogarea Regulamentului nr. 101/2020, ca urmare a instituirii unui nou cadru normativ în domeniul reglementat.</w:t>
            </w:r>
          </w:p>
          <w:p w14:paraId="3B575E3E" w14:textId="76850895" w:rsidR="00CB32A5" w:rsidRPr="00477FA4" w:rsidRDefault="006078C7" w:rsidP="00A34E60">
            <w:pPr>
              <w:tabs>
                <w:tab w:val="left" w:pos="884"/>
                <w:tab w:val="left" w:pos="1196"/>
              </w:tabs>
              <w:spacing w:after="0" w:line="240" w:lineRule="auto"/>
              <w:ind w:firstLine="594"/>
              <w:jc w:val="both"/>
              <w:rPr>
                <w:rFonts w:ascii="Roboto" w:hAnsi="Roboto" w:cs="Times New Roman"/>
                <w:sz w:val="24"/>
                <w:szCs w:val="24"/>
                <w:lang w:val="ro-MD"/>
              </w:rPr>
            </w:pPr>
            <w:r w:rsidRPr="00477FA4">
              <w:rPr>
                <w:rFonts w:ascii="Roboto" w:eastAsia="Times New Roman" w:hAnsi="Roboto" w:cs="Times New Roman"/>
                <w:sz w:val="24"/>
                <w:szCs w:val="24"/>
                <w:lang w:val="ro-MD"/>
              </w:rPr>
              <w:t xml:space="preserve">Totodată, este de precizat că la elaborarea proiectului de hotărâre s-a ținut cont de eforturile paralele de armonizare a legislației naționale </w:t>
            </w:r>
            <w:r w:rsidR="00344DB5" w:rsidRPr="00477FA4">
              <w:rPr>
                <w:rFonts w:ascii="Roboto" w:eastAsia="Times New Roman" w:hAnsi="Roboto" w:cs="Times New Roman"/>
                <w:sz w:val="24"/>
                <w:szCs w:val="24"/>
                <w:lang w:val="ro-MD"/>
              </w:rPr>
              <w:t>cu</w:t>
            </w:r>
            <w:r w:rsidRPr="00477FA4">
              <w:rPr>
                <w:rFonts w:ascii="Roboto" w:eastAsia="Times New Roman" w:hAnsi="Roboto" w:cs="Times New Roman"/>
                <w:sz w:val="24"/>
                <w:szCs w:val="24"/>
                <w:lang w:val="ro-MD"/>
              </w:rPr>
              <w:t xml:space="preserve"> normele acquis-ului UE în partea ce ține de activitatea în domeniul bancar. Respectiv, proiectul de hotărâre </w:t>
            </w:r>
            <w:r w:rsidR="00D30BBF" w:rsidRPr="00477FA4">
              <w:rPr>
                <w:rFonts w:ascii="Roboto" w:eastAsia="Times New Roman" w:hAnsi="Roboto" w:cs="Times New Roman"/>
                <w:sz w:val="24"/>
                <w:szCs w:val="24"/>
                <w:lang w:val="ro-MD"/>
              </w:rPr>
              <w:t xml:space="preserve">respectă </w:t>
            </w:r>
            <w:r w:rsidRPr="00477FA4">
              <w:rPr>
                <w:rFonts w:ascii="Roboto" w:eastAsia="Times New Roman" w:hAnsi="Roboto" w:cs="Times New Roman"/>
                <w:sz w:val="24"/>
                <w:szCs w:val="24"/>
                <w:lang w:val="ro-MD"/>
              </w:rPr>
              <w:t xml:space="preserve">terminologia utilizată în proiectul de Lege pentru modificarea unor acte normative (aspecte aferente activității băncilor), nr. unic 547/MF/BNM/2026 care substituie noțiunea de „bancă” cu noțiunea de „instituție de credit” și definește noțiunea de „instituție de importanță sistemică globală G-SII” și noțiunea de „instituție de </w:t>
            </w:r>
            <w:proofErr w:type="spellStart"/>
            <w:r w:rsidRPr="00477FA4">
              <w:rPr>
                <w:rFonts w:ascii="Roboto" w:eastAsia="Times New Roman" w:hAnsi="Roboto" w:cs="Times New Roman"/>
                <w:sz w:val="24"/>
                <w:szCs w:val="24"/>
                <w:lang w:val="ro-MD"/>
              </w:rPr>
              <w:t>importanţă</w:t>
            </w:r>
            <w:proofErr w:type="spellEnd"/>
            <w:r w:rsidRPr="00477FA4">
              <w:rPr>
                <w:rFonts w:ascii="Roboto" w:eastAsia="Times New Roman" w:hAnsi="Roboto" w:cs="Times New Roman"/>
                <w:sz w:val="24"/>
                <w:szCs w:val="24"/>
                <w:lang w:val="ro-MD"/>
              </w:rPr>
              <w:t xml:space="preserve"> sistemică globală din afara UE (GSII din afara UE)”.</w:t>
            </w:r>
            <w:r w:rsidR="007F4B49" w:rsidRPr="00477FA4">
              <w:rPr>
                <w:rFonts w:ascii="Roboto" w:eastAsia="Times New Roman" w:hAnsi="Roboto" w:cs="Times New Roman"/>
                <w:sz w:val="24"/>
                <w:szCs w:val="24"/>
                <w:lang w:val="ro-MD"/>
              </w:rPr>
              <w:t xml:space="preserve"> </w:t>
            </w:r>
          </w:p>
        </w:tc>
      </w:tr>
      <w:tr w:rsidR="00CB32A5" w:rsidRPr="00477FA4" w14:paraId="415B5DFB" w14:textId="77777777" w:rsidTr="00F058D1">
        <w:tc>
          <w:tcPr>
            <w:tcW w:w="5000" w:type="pct"/>
            <w:shd w:val="clear" w:color="auto" w:fill="AEAAAA" w:themeFill="background2" w:themeFillShade="BF"/>
          </w:tcPr>
          <w:p w14:paraId="1264D566" w14:textId="24332A3B" w:rsidR="00CB32A5" w:rsidRPr="00477FA4" w:rsidRDefault="00CB32A5" w:rsidP="00A34E60">
            <w:pPr>
              <w:tabs>
                <w:tab w:val="left" w:pos="884"/>
                <w:tab w:val="left" w:pos="1196"/>
              </w:tabs>
              <w:spacing w:after="120" w:line="240" w:lineRule="auto"/>
              <w:ind w:firstLine="284"/>
              <w:jc w:val="both"/>
              <w:rPr>
                <w:rFonts w:ascii="Roboto" w:hAnsi="Roboto" w:cs="Times New Roman"/>
                <w:b/>
                <w:bCs/>
                <w:sz w:val="24"/>
                <w:szCs w:val="24"/>
                <w:lang w:val="it-CH"/>
              </w:rPr>
            </w:pPr>
            <w:r w:rsidRPr="00477FA4">
              <w:rPr>
                <w:rFonts w:ascii="Roboto" w:hAnsi="Roboto" w:cs="Times New Roman"/>
                <w:b/>
                <w:bCs/>
                <w:sz w:val="24"/>
                <w:szCs w:val="24"/>
                <w:lang w:val="it-CH"/>
              </w:rPr>
              <w:t>9. Măsurile necesare pentru implementarea prevederilor proiectului actului normativ</w:t>
            </w:r>
          </w:p>
        </w:tc>
      </w:tr>
      <w:tr w:rsidR="003A4D10" w:rsidRPr="00477FA4" w14:paraId="09FC0D3B" w14:textId="77777777" w:rsidTr="00F058D1">
        <w:tc>
          <w:tcPr>
            <w:tcW w:w="5000" w:type="pct"/>
            <w:shd w:val="clear" w:color="auto" w:fill="FFFFFF" w:themeFill="background1"/>
          </w:tcPr>
          <w:p w14:paraId="67823A1B" w14:textId="6F7BED31" w:rsidR="003A4D10" w:rsidRPr="00477FA4" w:rsidRDefault="003C785C" w:rsidP="00A34E60">
            <w:pPr>
              <w:tabs>
                <w:tab w:val="left" w:pos="884"/>
                <w:tab w:val="left" w:pos="1196"/>
              </w:tabs>
              <w:spacing w:after="0" w:line="240" w:lineRule="auto"/>
              <w:ind w:firstLine="594"/>
              <w:jc w:val="both"/>
              <w:rPr>
                <w:rFonts w:ascii="Roboto" w:eastAsia="Times New Roman" w:hAnsi="Roboto" w:cs="Times New Roman"/>
                <w:sz w:val="24"/>
                <w:szCs w:val="24"/>
                <w:highlight w:val="yellow"/>
              </w:rPr>
            </w:pPr>
            <w:bookmarkStart w:id="3" w:name="_Hlk240041734"/>
            <w:r w:rsidRPr="00477FA4">
              <w:rPr>
                <w:rFonts w:ascii="Roboto" w:eastAsia="Times New Roman" w:hAnsi="Roboto" w:cs="Times New Roman"/>
                <w:sz w:val="24"/>
                <w:szCs w:val="24"/>
                <w:lang w:val="ro-MD"/>
              </w:rPr>
              <w:t xml:space="preserve">În scopul asigurării continuității activității în condițiile conformării prevederilor Programului Național de Aderare </w:t>
            </w:r>
            <w:r w:rsidR="00D30BBF" w:rsidRPr="00477FA4">
              <w:rPr>
                <w:rFonts w:ascii="Roboto" w:eastAsia="Times New Roman" w:hAnsi="Roboto" w:cs="Times New Roman"/>
                <w:sz w:val="24"/>
                <w:szCs w:val="24"/>
                <w:lang w:val="ro-MD"/>
              </w:rPr>
              <w:t xml:space="preserve">a Republicii Moldova la UE </w:t>
            </w:r>
            <w:r w:rsidRPr="00477FA4">
              <w:rPr>
                <w:rFonts w:ascii="Roboto" w:eastAsia="Times New Roman" w:hAnsi="Roboto" w:cs="Times New Roman"/>
                <w:sz w:val="24"/>
                <w:szCs w:val="24"/>
                <w:lang w:val="ro-MD"/>
              </w:rPr>
              <w:t xml:space="preserve">2025/2029, proiectul hotărârii </w:t>
            </w:r>
            <w:r w:rsidR="00045221" w:rsidRPr="00477FA4">
              <w:rPr>
                <w:rFonts w:ascii="Roboto" w:eastAsia="Times New Roman" w:hAnsi="Roboto" w:cs="Times New Roman"/>
                <w:sz w:val="24"/>
                <w:szCs w:val="24"/>
                <w:lang w:val="ro-MD"/>
              </w:rPr>
              <w:t xml:space="preserve">va </w:t>
            </w:r>
            <w:r w:rsidRPr="00477FA4">
              <w:rPr>
                <w:rFonts w:ascii="Roboto" w:eastAsia="Times New Roman" w:hAnsi="Roboto" w:cs="Times New Roman"/>
                <w:sz w:val="24"/>
                <w:szCs w:val="24"/>
                <w:lang w:val="ro-MD"/>
              </w:rPr>
              <w:t>intr</w:t>
            </w:r>
            <w:r w:rsidR="00045221" w:rsidRPr="00477FA4">
              <w:rPr>
                <w:rFonts w:ascii="Roboto" w:eastAsia="Times New Roman" w:hAnsi="Roboto" w:cs="Times New Roman"/>
                <w:sz w:val="24"/>
                <w:szCs w:val="24"/>
                <w:lang w:val="ro-MD"/>
              </w:rPr>
              <w:t>a</w:t>
            </w:r>
            <w:r w:rsidRPr="00477FA4">
              <w:rPr>
                <w:rFonts w:ascii="Roboto" w:eastAsia="Times New Roman" w:hAnsi="Roboto" w:cs="Times New Roman"/>
                <w:sz w:val="24"/>
                <w:szCs w:val="24"/>
                <w:lang w:val="ro-MD"/>
              </w:rPr>
              <w:t xml:space="preserve"> în vigoare la 1 ianuarie 2028</w:t>
            </w:r>
            <w:r w:rsidR="007F4B49" w:rsidRPr="00477FA4">
              <w:rPr>
                <w:rFonts w:ascii="Roboto" w:eastAsia="Times New Roman" w:hAnsi="Roboto" w:cs="Times New Roman"/>
                <w:sz w:val="24"/>
                <w:szCs w:val="24"/>
              </w:rPr>
              <w:t xml:space="preserve">, </w:t>
            </w:r>
            <w:r w:rsidR="00944E5E" w:rsidRPr="00477FA4">
              <w:rPr>
                <w:rFonts w:ascii="Roboto" w:eastAsia="Times New Roman" w:hAnsi="Roboto" w:cs="Times New Roman"/>
                <w:sz w:val="24"/>
                <w:szCs w:val="24"/>
                <w:lang w:val="ro-MD"/>
              </w:rPr>
              <w:t xml:space="preserve">cu excepția prevederilor </w:t>
            </w:r>
            <w:r w:rsidR="00FA0264" w:rsidRPr="00477FA4">
              <w:rPr>
                <w:rFonts w:ascii="Roboto" w:eastAsia="Times New Roman" w:hAnsi="Roboto" w:cs="Times New Roman"/>
                <w:sz w:val="24"/>
                <w:szCs w:val="24"/>
                <w:lang w:val="ro-MD"/>
              </w:rPr>
              <w:t xml:space="preserve">care vizează statutul de stat membru </w:t>
            </w:r>
            <w:r w:rsidR="00783912" w:rsidRPr="00477FA4">
              <w:rPr>
                <w:rFonts w:ascii="Roboto" w:hAnsi="Roboto" w:cs="Times New Roman"/>
                <w:color w:val="000000" w:themeColor="text1"/>
                <w:sz w:val="24"/>
                <w:szCs w:val="24"/>
                <w:lang w:val="ro-MD"/>
              </w:rPr>
              <w:t xml:space="preserve">care </w:t>
            </w:r>
            <w:r w:rsidR="00D30BBF" w:rsidRPr="00477FA4">
              <w:rPr>
                <w:rFonts w:ascii="Roboto" w:hAnsi="Roboto" w:cs="Times New Roman"/>
                <w:color w:val="000000" w:themeColor="text1"/>
                <w:sz w:val="24"/>
                <w:szCs w:val="24"/>
                <w:lang w:val="ro-MD"/>
              </w:rPr>
              <w:t xml:space="preserve">se vor aplica începând cu </w:t>
            </w:r>
            <w:r w:rsidR="00783912" w:rsidRPr="00477FA4">
              <w:rPr>
                <w:rFonts w:ascii="Roboto" w:hAnsi="Roboto" w:cs="Times New Roman"/>
                <w:color w:val="000000" w:themeColor="text1"/>
                <w:sz w:val="24"/>
                <w:szCs w:val="24"/>
                <w:lang w:val="ro-MD"/>
              </w:rPr>
              <w:t>data intrării în vigoare a Tratatului de Aderare a Republicii Moldova la Uniunea Europeană</w:t>
            </w:r>
            <w:r w:rsidR="00A34E60" w:rsidRPr="00477FA4">
              <w:rPr>
                <w:rFonts w:ascii="Roboto" w:hAnsi="Roboto" w:cs="Times New Roman"/>
                <w:color w:val="000000" w:themeColor="text1"/>
                <w:sz w:val="24"/>
                <w:szCs w:val="24"/>
                <w:lang w:val="ro-MD"/>
              </w:rPr>
              <w:t>.</w:t>
            </w:r>
            <w:bookmarkEnd w:id="3"/>
          </w:p>
        </w:tc>
      </w:tr>
    </w:tbl>
    <w:p w14:paraId="492EEE1B" w14:textId="6D41A6EF" w:rsidR="00933EFF" w:rsidRPr="00477FA4" w:rsidRDefault="00933EFF" w:rsidP="00F3316E">
      <w:pPr>
        <w:tabs>
          <w:tab w:val="left" w:pos="884"/>
          <w:tab w:val="left" w:pos="1196"/>
        </w:tabs>
        <w:spacing w:after="120" w:line="276" w:lineRule="auto"/>
        <w:jc w:val="both"/>
        <w:rPr>
          <w:rFonts w:ascii="Roboto" w:hAnsi="Roboto" w:cs="Times New Roman"/>
          <w:sz w:val="24"/>
          <w:szCs w:val="24"/>
        </w:rPr>
      </w:pPr>
    </w:p>
    <w:sectPr w:rsidR="00933EFF" w:rsidRPr="00477FA4" w:rsidSect="00D50587">
      <w:headerReference w:type="even" r:id="rId12"/>
      <w:footerReference w:type="even" r:id="rId13"/>
      <w:footerReference w:type="defaul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7BF96" w14:textId="77777777" w:rsidR="00C50659" w:rsidRDefault="00C50659" w:rsidP="00D94F8E">
      <w:pPr>
        <w:spacing w:after="0" w:line="240" w:lineRule="auto"/>
      </w:pPr>
      <w:r>
        <w:separator/>
      </w:r>
    </w:p>
  </w:endnote>
  <w:endnote w:type="continuationSeparator" w:id="0">
    <w:p w14:paraId="727B2084" w14:textId="77777777" w:rsidR="00C50659" w:rsidRDefault="00C50659" w:rsidP="00D94F8E">
      <w:pPr>
        <w:spacing w:after="0" w:line="240" w:lineRule="auto"/>
      </w:pPr>
      <w:r>
        <w:continuationSeparator/>
      </w:r>
    </w:p>
  </w:endnote>
  <w:endnote w:type="continuationNotice" w:id="1">
    <w:p w14:paraId="7B626183" w14:textId="77777777" w:rsidR="00C50659" w:rsidRDefault="00C506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ermianseriftypefaceregular">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panose1 w:val="02000000000000000000"/>
    <w:charset w:val="CC"/>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b/>
        <w:sz w:val="18"/>
        <w:szCs w:val="18"/>
      </w:rPr>
      <w:id w:val="-1493097304"/>
      <w:docPartObj>
        <w:docPartGallery w:val="Page Numbers (Bottom of Page)"/>
        <w:docPartUnique/>
      </w:docPartObj>
    </w:sdtPr>
    <w:sdtEndPr>
      <w:rPr>
        <w:b w:val="0"/>
        <w:noProof/>
        <w:sz w:val="22"/>
        <w:szCs w:val="22"/>
      </w:rPr>
    </w:sdtEndPr>
    <w:sdtContent>
      <w:p w14:paraId="31ADD7C3" w14:textId="6D337D9E" w:rsidR="00933EFF" w:rsidRPr="00DB7DE4" w:rsidRDefault="00933EFF" w:rsidP="00D94F8E">
        <w:pPr>
          <w:pStyle w:val="Footer"/>
          <w:jc w:val="right"/>
          <w:rPr>
            <w:rFonts w:ascii="Times New Roman" w:hAnsi="Times New Roman" w:cs="Times New Roman"/>
          </w:rPr>
        </w:pPr>
        <w:r w:rsidRPr="00DB7DE4">
          <w:rPr>
            <w:rFonts w:ascii="Times New Roman" w:hAnsi="Times New Roman" w:cs="Times New Roman"/>
          </w:rPr>
          <w:fldChar w:fldCharType="begin"/>
        </w:r>
        <w:r w:rsidRPr="00DB7DE4">
          <w:rPr>
            <w:rFonts w:ascii="Times New Roman" w:hAnsi="Times New Roman" w:cs="Times New Roman"/>
          </w:rPr>
          <w:instrText xml:space="preserve"> PAGE   \* MERGEFORMAT </w:instrText>
        </w:r>
        <w:r w:rsidRPr="00DB7DE4">
          <w:rPr>
            <w:rFonts w:ascii="Times New Roman" w:hAnsi="Times New Roman" w:cs="Times New Roman"/>
          </w:rPr>
          <w:fldChar w:fldCharType="separate"/>
        </w:r>
        <w:r w:rsidR="00247A9F">
          <w:rPr>
            <w:rFonts w:ascii="Times New Roman" w:hAnsi="Times New Roman" w:cs="Times New Roman"/>
            <w:noProof/>
          </w:rPr>
          <w:t>4</w:t>
        </w:r>
        <w:r w:rsidRPr="00DB7DE4">
          <w:rPr>
            <w:rFonts w:ascii="Times New Roman" w:hAnsi="Times New Roman" w:cs="Times New Roman"/>
            <w:noProof/>
          </w:rPr>
          <w:fldChar w:fldCharType="end"/>
        </w:r>
      </w:p>
    </w:sdtContent>
  </w:sdt>
  <w:p w14:paraId="753B16E6" w14:textId="77777777" w:rsidR="00933EFF" w:rsidRDefault="00933EFF" w:rsidP="00D94F8E">
    <w:pPr>
      <w:pStyle w:val="Footer"/>
    </w:pPr>
  </w:p>
  <w:p w14:paraId="76EA6532" w14:textId="77777777" w:rsidR="00933EFF" w:rsidRDefault="00933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8F3A" w14:textId="06B810C6" w:rsidR="00933EFF" w:rsidRPr="00DB7DE4" w:rsidRDefault="00477FA4" w:rsidP="009E3C9F">
    <w:pPr>
      <w:pStyle w:val="Footer"/>
      <w:jc w:val="right"/>
      <w:rPr>
        <w:rFonts w:ascii="Times New Roman" w:hAnsi="Times New Roman" w:cs="Times New Roman"/>
      </w:rPr>
    </w:pPr>
    <w:sdt>
      <w:sdtPr>
        <w:id w:val="-1448146994"/>
        <w:docPartObj>
          <w:docPartGallery w:val="Page Numbers (Bottom of Page)"/>
          <w:docPartUnique/>
        </w:docPartObj>
      </w:sdtPr>
      <w:sdtEndPr>
        <w:rPr>
          <w:rFonts w:ascii="Times New Roman" w:hAnsi="Times New Roman" w:cs="Times New Roman"/>
          <w:noProof/>
        </w:rPr>
      </w:sdtEndPr>
      <w:sdtContent>
        <w:r w:rsidR="00933EFF" w:rsidRPr="00DB7DE4">
          <w:rPr>
            <w:rFonts w:ascii="Times New Roman" w:hAnsi="Times New Roman" w:cs="Times New Roman"/>
          </w:rPr>
          <w:fldChar w:fldCharType="begin"/>
        </w:r>
        <w:r w:rsidR="00933EFF" w:rsidRPr="00DB7DE4">
          <w:rPr>
            <w:rFonts w:ascii="Times New Roman" w:hAnsi="Times New Roman" w:cs="Times New Roman"/>
          </w:rPr>
          <w:instrText xml:space="preserve"> PAGE   \* MERGEFORMAT </w:instrText>
        </w:r>
        <w:r w:rsidR="00933EFF" w:rsidRPr="00DB7DE4">
          <w:rPr>
            <w:rFonts w:ascii="Times New Roman" w:hAnsi="Times New Roman" w:cs="Times New Roman"/>
          </w:rPr>
          <w:fldChar w:fldCharType="separate"/>
        </w:r>
        <w:r w:rsidR="00247A9F">
          <w:rPr>
            <w:rFonts w:ascii="Times New Roman" w:hAnsi="Times New Roman" w:cs="Times New Roman"/>
            <w:noProof/>
          </w:rPr>
          <w:t>3</w:t>
        </w:r>
        <w:r w:rsidR="00933EFF" w:rsidRPr="00DB7DE4">
          <w:rPr>
            <w:rFonts w:ascii="Times New Roman" w:hAnsi="Times New Roman" w:cs="Times New Roman"/>
            <w:noProof/>
          </w:rPr>
          <w:fldChar w:fldCharType="end"/>
        </w:r>
      </w:sdtContent>
    </w:sdt>
  </w:p>
  <w:p w14:paraId="10649DD5" w14:textId="77777777" w:rsidR="00933EFF" w:rsidRDefault="00933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5D3CF" w14:textId="77777777" w:rsidR="00C50659" w:rsidRDefault="00C50659" w:rsidP="00D94F8E">
      <w:pPr>
        <w:spacing w:after="0" w:line="240" w:lineRule="auto"/>
      </w:pPr>
      <w:r>
        <w:separator/>
      </w:r>
    </w:p>
  </w:footnote>
  <w:footnote w:type="continuationSeparator" w:id="0">
    <w:p w14:paraId="1AEB170C" w14:textId="77777777" w:rsidR="00C50659" w:rsidRDefault="00C50659" w:rsidP="00D94F8E">
      <w:pPr>
        <w:spacing w:after="0" w:line="240" w:lineRule="auto"/>
      </w:pPr>
      <w:r>
        <w:continuationSeparator/>
      </w:r>
    </w:p>
  </w:footnote>
  <w:footnote w:type="continuationNotice" w:id="1">
    <w:p w14:paraId="7381A266" w14:textId="77777777" w:rsidR="00C50659" w:rsidRDefault="00C506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0F6F" w14:textId="77777777" w:rsidR="00933EFF" w:rsidRDefault="00933EFF" w:rsidP="00D94F8E">
    <w:pPr>
      <w:pStyle w:val="Header"/>
    </w:pPr>
  </w:p>
  <w:p w14:paraId="7287E1F9" w14:textId="77777777" w:rsidR="00933EFF" w:rsidRDefault="00933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9F9"/>
    <w:multiLevelType w:val="hybridMultilevel"/>
    <w:tmpl w:val="2CE0DE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77355"/>
    <w:multiLevelType w:val="hybridMultilevel"/>
    <w:tmpl w:val="E7C2A9DC"/>
    <w:lvl w:ilvl="0" w:tplc="56E05A18">
      <w:start w:val="1"/>
      <w:numFmt w:val="lowerRoman"/>
      <w:lvlText w:val="(%1)"/>
      <w:lvlJc w:val="left"/>
      <w:pPr>
        <w:ind w:left="1080" w:hanging="72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0C902D28"/>
    <w:multiLevelType w:val="hybridMultilevel"/>
    <w:tmpl w:val="069A8D26"/>
    <w:lvl w:ilvl="0" w:tplc="0818000D">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0E615F5D"/>
    <w:multiLevelType w:val="hybridMultilevel"/>
    <w:tmpl w:val="FBC2FE74"/>
    <w:lvl w:ilvl="0" w:tplc="F7E6F2E0">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11CA2851"/>
    <w:multiLevelType w:val="hybridMultilevel"/>
    <w:tmpl w:val="E2F45414"/>
    <w:lvl w:ilvl="0" w:tplc="0818000D">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168223DD"/>
    <w:multiLevelType w:val="hybridMultilevel"/>
    <w:tmpl w:val="C11C009A"/>
    <w:lvl w:ilvl="0" w:tplc="53C03EE8">
      <w:start w:val="1"/>
      <w:numFmt w:val="decimal"/>
      <w:lvlText w:val="%1)"/>
      <w:lvlJc w:val="left"/>
      <w:pPr>
        <w:ind w:left="959" w:hanging="360"/>
      </w:pPr>
      <w:rPr>
        <w:rFonts w:hint="default"/>
      </w:rPr>
    </w:lvl>
    <w:lvl w:ilvl="1" w:tplc="08180019" w:tentative="1">
      <w:start w:val="1"/>
      <w:numFmt w:val="lowerLetter"/>
      <w:lvlText w:val="%2."/>
      <w:lvlJc w:val="left"/>
      <w:pPr>
        <w:ind w:left="1679" w:hanging="360"/>
      </w:pPr>
    </w:lvl>
    <w:lvl w:ilvl="2" w:tplc="0818001B" w:tentative="1">
      <w:start w:val="1"/>
      <w:numFmt w:val="lowerRoman"/>
      <w:lvlText w:val="%3."/>
      <w:lvlJc w:val="right"/>
      <w:pPr>
        <w:ind w:left="2399" w:hanging="180"/>
      </w:pPr>
    </w:lvl>
    <w:lvl w:ilvl="3" w:tplc="0818000F" w:tentative="1">
      <w:start w:val="1"/>
      <w:numFmt w:val="decimal"/>
      <w:lvlText w:val="%4."/>
      <w:lvlJc w:val="left"/>
      <w:pPr>
        <w:ind w:left="3119" w:hanging="360"/>
      </w:pPr>
    </w:lvl>
    <w:lvl w:ilvl="4" w:tplc="08180019" w:tentative="1">
      <w:start w:val="1"/>
      <w:numFmt w:val="lowerLetter"/>
      <w:lvlText w:val="%5."/>
      <w:lvlJc w:val="left"/>
      <w:pPr>
        <w:ind w:left="3839" w:hanging="360"/>
      </w:pPr>
    </w:lvl>
    <w:lvl w:ilvl="5" w:tplc="0818001B" w:tentative="1">
      <w:start w:val="1"/>
      <w:numFmt w:val="lowerRoman"/>
      <w:lvlText w:val="%6."/>
      <w:lvlJc w:val="right"/>
      <w:pPr>
        <w:ind w:left="4559" w:hanging="180"/>
      </w:pPr>
    </w:lvl>
    <w:lvl w:ilvl="6" w:tplc="0818000F" w:tentative="1">
      <w:start w:val="1"/>
      <w:numFmt w:val="decimal"/>
      <w:lvlText w:val="%7."/>
      <w:lvlJc w:val="left"/>
      <w:pPr>
        <w:ind w:left="5279" w:hanging="360"/>
      </w:pPr>
    </w:lvl>
    <w:lvl w:ilvl="7" w:tplc="08180019" w:tentative="1">
      <w:start w:val="1"/>
      <w:numFmt w:val="lowerLetter"/>
      <w:lvlText w:val="%8."/>
      <w:lvlJc w:val="left"/>
      <w:pPr>
        <w:ind w:left="5999" w:hanging="360"/>
      </w:pPr>
    </w:lvl>
    <w:lvl w:ilvl="8" w:tplc="0818001B" w:tentative="1">
      <w:start w:val="1"/>
      <w:numFmt w:val="lowerRoman"/>
      <w:lvlText w:val="%9."/>
      <w:lvlJc w:val="right"/>
      <w:pPr>
        <w:ind w:left="6719" w:hanging="180"/>
      </w:pPr>
    </w:lvl>
  </w:abstractNum>
  <w:abstractNum w:abstractNumId="6" w15:restartNumberingAfterBreak="0">
    <w:nsid w:val="1F357E86"/>
    <w:multiLevelType w:val="hybridMultilevel"/>
    <w:tmpl w:val="F5BE1E1E"/>
    <w:lvl w:ilvl="0" w:tplc="8D5A558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F1A35"/>
    <w:multiLevelType w:val="multilevel"/>
    <w:tmpl w:val="542A3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F12769"/>
    <w:multiLevelType w:val="multilevel"/>
    <w:tmpl w:val="4F0E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E6703"/>
    <w:multiLevelType w:val="hybridMultilevel"/>
    <w:tmpl w:val="51162FE8"/>
    <w:lvl w:ilvl="0" w:tplc="08180003">
      <w:start w:val="1"/>
      <w:numFmt w:val="bullet"/>
      <w:lvlText w:val="o"/>
      <w:lvlJc w:val="left"/>
      <w:pPr>
        <w:ind w:left="1440" w:hanging="360"/>
      </w:pPr>
      <w:rPr>
        <w:rFonts w:ascii="Courier New" w:hAnsi="Courier New" w:cs="Courier New" w:hint="default"/>
      </w:rPr>
    </w:lvl>
    <w:lvl w:ilvl="1" w:tplc="08180003" w:tentative="1">
      <w:start w:val="1"/>
      <w:numFmt w:val="bullet"/>
      <w:lvlText w:val="o"/>
      <w:lvlJc w:val="left"/>
      <w:pPr>
        <w:ind w:left="2160" w:hanging="360"/>
      </w:pPr>
      <w:rPr>
        <w:rFonts w:ascii="Courier New" w:hAnsi="Courier New" w:cs="Courier New" w:hint="default"/>
      </w:rPr>
    </w:lvl>
    <w:lvl w:ilvl="2" w:tplc="08180005" w:tentative="1">
      <w:start w:val="1"/>
      <w:numFmt w:val="bullet"/>
      <w:lvlText w:val=""/>
      <w:lvlJc w:val="left"/>
      <w:pPr>
        <w:ind w:left="2880" w:hanging="360"/>
      </w:pPr>
      <w:rPr>
        <w:rFonts w:ascii="Wingdings" w:hAnsi="Wingdings" w:hint="default"/>
      </w:rPr>
    </w:lvl>
    <w:lvl w:ilvl="3" w:tplc="08180001" w:tentative="1">
      <w:start w:val="1"/>
      <w:numFmt w:val="bullet"/>
      <w:lvlText w:val=""/>
      <w:lvlJc w:val="left"/>
      <w:pPr>
        <w:ind w:left="3600" w:hanging="360"/>
      </w:pPr>
      <w:rPr>
        <w:rFonts w:ascii="Symbol" w:hAnsi="Symbol" w:hint="default"/>
      </w:rPr>
    </w:lvl>
    <w:lvl w:ilvl="4" w:tplc="08180003" w:tentative="1">
      <w:start w:val="1"/>
      <w:numFmt w:val="bullet"/>
      <w:lvlText w:val="o"/>
      <w:lvlJc w:val="left"/>
      <w:pPr>
        <w:ind w:left="4320" w:hanging="360"/>
      </w:pPr>
      <w:rPr>
        <w:rFonts w:ascii="Courier New" w:hAnsi="Courier New" w:cs="Courier New" w:hint="default"/>
      </w:rPr>
    </w:lvl>
    <w:lvl w:ilvl="5" w:tplc="08180005" w:tentative="1">
      <w:start w:val="1"/>
      <w:numFmt w:val="bullet"/>
      <w:lvlText w:val=""/>
      <w:lvlJc w:val="left"/>
      <w:pPr>
        <w:ind w:left="5040" w:hanging="360"/>
      </w:pPr>
      <w:rPr>
        <w:rFonts w:ascii="Wingdings" w:hAnsi="Wingdings" w:hint="default"/>
      </w:rPr>
    </w:lvl>
    <w:lvl w:ilvl="6" w:tplc="08180001" w:tentative="1">
      <w:start w:val="1"/>
      <w:numFmt w:val="bullet"/>
      <w:lvlText w:val=""/>
      <w:lvlJc w:val="left"/>
      <w:pPr>
        <w:ind w:left="5760" w:hanging="360"/>
      </w:pPr>
      <w:rPr>
        <w:rFonts w:ascii="Symbol" w:hAnsi="Symbol" w:hint="default"/>
      </w:rPr>
    </w:lvl>
    <w:lvl w:ilvl="7" w:tplc="08180003" w:tentative="1">
      <w:start w:val="1"/>
      <w:numFmt w:val="bullet"/>
      <w:lvlText w:val="o"/>
      <w:lvlJc w:val="left"/>
      <w:pPr>
        <w:ind w:left="6480" w:hanging="360"/>
      </w:pPr>
      <w:rPr>
        <w:rFonts w:ascii="Courier New" w:hAnsi="Courier New" w:cs="Courier New" w:hint="default"/>
      </w:rPr>
    </w:lvl>
    <w:lvl w:ilvl="8" w:tplc="08180005" w:tentative="1">
      <w:start w:val="1"/>
      <w:numFmt w:val="bullet"/>
      <w:lvlText w:val=""/>
      <w:lvlJc w:val="left"/>
      <w:pPr>
        <w:ind w:left="7200" w:hanging="360"/>
      </w:pPr>
      <w:rPr>
        <w:rFonts w:ascii="Wingdings" w:hAnsi="Wingdings" w:hint="default"/>
      </w:rPr>
    </w:lvl>
  </w:abstractNum>
  <w:abstractNum w:abstractNumId="10" w15:restartNumberingAfterBreak="0">
    <w:nsid w:val="2D98627F"/>
    <w:multiLevelType w:val="hybridMultilevel"/>
    <w:tmpl w:val="B40CE1E6"/>
    <w:lvl w:ilvl="0" w:tplc="6E88DD8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505EF0"/>
    <w:multiLevelType w:val="multilevel"/>
    <w:tmpl w:val="D8A8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E363C7"/>
    <w:multiLevelType w:val="hybridMultilevel"/>
    <w:tmpl w:val="362806B8"/>
    <w:lvl w:ilvl="0" w:tplc="08180001">
      <w:start w:val="1"/>
      <w:numFmt w:val="bullet"/>
      <w:lvlText w:val=""/>
      <w:lvlJc w:val="left"/>
      <w:pPr>
        <w:ind w:left="720" w:hanging="360"/>
      </w:pPr>
      <w:rPr>
        <w:rFonts w:ascii="Symbol" w:hAnsi="Symbo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3" w15:restartNumberingAfterBreak="0">
    <w:nsid w:val="476D53DE"/>
    <w:multiLevelType w:val="hybridMultilevel"/>
    <w:tmpl w:val="88049258"/>
    <w:lvl w:ilvl="0" w:tplc="FE9E9F62">
      <w:start w:val="25"/>
      <w:numFmt w:val="bullet"/>
      <w:lvlText w:val="-"/>
      <w:lvlJc w:val="left"/>
      <w:pPr>
        <w:ind w:left="720" w:hanging="360"/>
      </w:pPr>
      <w:rPr>
        <w:rFonts w:ascii="permianseriftypefaceregular" w:eastAsia="Times New Roman" w:hAnsi="permianseriftypefaceregular"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4" w15:restartNumberingAfterBreak="0">
    <w:nsid w:val="47E01BF7"/>
    <w:multiLevelType w:val="hybridMultilevel"/>
    <w:tmpl w:val="A3767438"/>
    <w:lvl w:ilvl="0" w:tplc="FD50B4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19702F"/>
    <w:multiLevelType w:val="hybridMultilevel"/>
    <w:tmpl w:val="BB680296"/>
    <w:lvl w:ilvl="0" w:tplc="E8A0CCA0">
      <w:start w:val="3"/>
      <w:numFmt w:val="bullet"/>
      <w:lvlText w:val="-"/>
      <w:lvlJc w:val="left"/>
      <w:pPr>
        <w:ind w:left="720"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7644EF"/>
    <w:multiLevelType w:val="hybridMultilevel"/>
    <w:tmpl w:val="DE28477C"/>
    <w:lvl w:ilvl="0" w:tplc="FE9E9F62">
      <w:start w:val="25"/>
      <w:numFmt w:val="bullet"/>
      <w:lvlText w:val="-"/>
      <w:lvlJc w:val="left"/>
      <w:pPr>
        <w:ind w:left="720" w:hanging="360"/>
      </w:pPr>
      <w:rPr>
        <w:rFonts w:ascii="permianseriftypefaceregular" w:eastAsia="Times New Roman" w:hAnsi="permianseriftypefaceregular"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7"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8" w15:restartNumberingAfterBreak="0">
    <w:nsid w:val="689D15D0"/>
    <w:multiLevelType w:val="hybridMultilevel"/>
    <w:tmpl w:val="FFE495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9D61E5"/>
    <w:multiLevelType w:val="hybridMultilevel"/>
    <w:tmpl w:val="2558056E"/>
    <w:lvl w:ilvl="0" w:tplc="E7B0DD9C">
      <w:start w:val="1"/>
      <w:numFmt w:val="decimal"/>
      <w:lvlText w:val="%1)"/>
      <w:lvlJc w:val="left"/>
      <w:pPr>
        <w:ind w:left="720" w:hanging="360"/>
      </w:pPr>
      <w:rPr>
        <w:rFonts w:eastAsia="Calibri Light"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0" w15:restartNumberingAfterBreak="0">
    <w:nsid w:val="70B23BCB"/>
    <w:multiLevelType w:val="hybridMultilevel"/>
    <w:tmpl w:val="870C751A"/>
    <w:lvl w:ilvl="0" w:tplc="9B989E3A">
      <w:start w:val="3243"/>
      <w:numFmt w:val="decimal"/>
      <w:lvlText w:val="%1."/>
      <w:lvlJc w:val="left"/>
      <w:pPr>
        <w:ind w:left="900" w:hanging="54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1" w15:restartNumberingAfterBreak="0">
    <w:nsid w:val="76B1276B"/>
    <w:multiLevelType w:val="multilevel"/>
    <w:tmpl w:val="DA60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994098">
    <w:abstractNumId w:val="17"/>
  </w:num>
  <w:num w:numId="2" w16cid:durableId="1302148235">
    <w:abstractNumId w:val="18"/>
  </w:num>
  <w:num w:numId="3" w16cid:durableId="1733624304">
    <w:abstractNumId w:val="14"/>
  </w:num>
  <w:num w:numId="4" w16cid:durableId="616765217">
    <w:abstractNumId w:val="0"/>
  </w:num>
  <w:num w:numId="5" w16cid:durableId="141653779">
    <w:abstractNumId w:val="6"/>
  </w:num>
  <w:num w:numId="6" w16cid:durableId="1420297809">
    <w:abstractNumId w:val="15"/>
  </w:num>
  <w:num w:numId="7" w16cid:durableId="35737784">
    <w:abstractNumId w:val="10"/>
  </w:num>
  <w:num w:numId="8" w16cid:durableId="1254507222">
    <w:abstractNumId w:val="12"/>
  </w:num>
  <w:num w:numId="9" w16cid:durableId="1257010412">
    <w:abstractNumId w:val="16"/>
  </w:num>
  <w:num w:numId="10" w16cid:durableId="1542940934">
    <w:abstractNumId w:val="16"/>
  </w:num>
  <w:num w:numId="11" w16cid:durableId="1091315280">
    <w:abstractNumId w:val="19"/>
  </w:num>
  <w:num w:numId="12" w16cid:durableId="1211192798">
    <w:abstractNumId w:val="21"/>
  </w:num>
  <w:num w:numId="13" w16cid:durableId="2010254956">
    <w:abstractNumId w:val="7"/>
  </w:num>
  <w:num w:numId="14" w16cid:durableId="1750418263">
    <w:abstractNumId w:val="8"/>
  </w:num>
  <w:num w:numId="15" w16cid:durableId="1990402543">
    <w:abstractNumId w:val="3"/>
  </w:num>
  <w:num w:numId="16" w16cid:durableId="985817584">
    <w:abstractNumId w:val="4"/>
  </w:num>
  <w:num w:numId="17" w16cid:durableId="791246189">
    <w:abstractNumId w:val="9"/>
  </w:num>
  <w:num w:numId="18" w16cid:durableId="756363670">
    <w:abstractNumId w:val="2"/>
  </w:num>
  <w:num w:numId="19" w16cid:durableId="1911883498">
    <w:abstractNumId w:val="11"/>
  </w:num>
  <w:num w:numId="20" w16cid:durableId="135296312">
    <w:abstractNumId w:val="1"/>
  </w:num>
  <w:num w:numId="21" w16cid:durableId="931815985">
    <w:abstractNumId w:val="13"/>
  </w:num>
  <w:num w:numId="22" w16cid:durableId="1748729294">
    <w:abstractNumId w:val="5"/>
  </w:num>
  <w:num w:numId="23" w16cid:durableId="170729317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CDC"/>
    <w:rsid w:val="00000E82"/>
    <w:rsid w:val="0000374D"/>
    <w:rsid w:val="00010304"/>
    <w:rsid w:val="000105B3"/>
    <w:rsid w:val="00013D77"/>
    <w:rsid w:val="0001405E"/>
    <w:rsid w:val="000144C7"/>
    <w:rsid w:val="000147F2"/>
    <w:rsid w:val="00015364"/>
    <w:rsid w:val="0001591D"/>
    <w:rsid w:val="0002014E"/>
    <w:rsid w:val="0002043C"/>
    <w:rsid w:val="00023F17"/>
    <w:rsid w:val="00024391"/>
    <w:rsid w:val="00032FDD"/>
    <w:rsid w:val="000331FF"/>
    <w:rsid w:val="000355F5"/>
    <w:rsid w:val="000417AC"/>
    <w:rsid w:val="000449CE"/>
    <w:rsid w:val="00045221"/>
    <w:rsid w:val="000471DF"/>
    <w:rsid w:val="00051B5A"/>
    <w:rsid w:val="0006270F"/>
    <w:rsid w:val="00062C1D"/>
    <w:rsid w:val="00064A45"/>
    <w:rsid w:val="00075834"/>
    <w:rsid w:val="00076FCA"/>
    <w:rsid w:val="00080A3B"/>
    <w:rsid w:val="00083DF4"/>
    <w:rsid w:val="00085256"/>
    <w:rsid w:val="00085CA2"/>
    <w:rsid w:val="00091D36"/>
    <w:rsid w:val="000941E9"/>
    <w:rsid w:val="00094BC4"/>
    <w:rsid w:val="0009795C"/>
    <w:rsid w:val="000A37F7"/>
    <w:rsid w:val="000A59B9"/>
    <w:rsid w:val="000A5FFC"/>
    <w:rsid w:val="000A79D5"/>
    <w:rsid w:val="000A7C62"/>
    <w:rsid w:val="000B105A"/>
    <w:rsid w:val="000B1AC6"/>
    <w:rsid w:val="000B20D1"/>
    <w:rsid w:val="000B5627"/>
    <w:rsid w:val="000B7360"/>
    <w:rsid w:val="000B7A3F"/>
    <w:rsid w:val="000C26F7"/>
    <w:rsid w:val="000C2D99"/>
    <w:rsid w:val="000C4BF9"/>
    <w:rsid w:val="000C73D3"/>
    <w:rsid w:val="000C7833"/>
    <w:rsid w:val="000D26C7"/>
    <w:rsid w:val="000D3B20"/>
    <w:rsid w:val="000D673E"/>
    <w:rsid w:val="000E06CD"/>
    <w:rsid w:val="000E0FB3"/>
    <w:rsid w:val="000E3882"/>
    <w:rsid w:val="000E3D27"/>
    <w:rsid w:val="000E58ED"/>
    <w:rsid w:val="000F0855"/>
    <w:rsid w:val="000F1109"/>
    <w:rsid w:val="000F2C98"/>
    <w:rsid w:val="000F3661"/>
    <w:rsid w:val="000F3A90"/>
    <w:rsid w:val="000F430B"/>
    <w:rsid w:val="000F60FF"/>
    <w:rsid w:val="0010112E"/>
    <w:rsid w:val="001022E8"/>
    <w:rsid w:val="00104982"/>
    <w:rsid w:val="001108E7"/>
    <w:rsid w:val="00113B4E"/>
    <w:rsid w:val="0011478E"/>
    <w:rsid w:val="00116456"/>
    <w:rsid w:val="0012212E"/>
    <w:rsid w:val="001226E0"/>
    <w:rsid w:val="0013159C"/>
    <w:rsid w:val="00137BE9"/>
    <w:rsid w:val="00143481"/>
    <w:rsid w:val="001502E0"/>
    <w:rsid w:val="00157E6F"/>
    <w:rsid w:val="001614BC"/>
    <w:rsid w:val="00166B36"/>
    <w:rsid w:val="0017693E"/>
    <w:rsid w:val="00183195"/>
    <w:rsid w:val="00185B1B"/>
    <w:rsid w:val="00190E2A"/>
    <w:rsid w:val="0019123A"/>
    <w:rsid w:val="00191608"/>
    <w:rsid w:val="00193046"/>
    <w:rsid w:val="00193604"/>
    <w:rsid w:val="00196219"/>
    <w:rsid w:val="001A2B7D"/>
    <w:rsid w:val="001A3FD4"/>
    <w:rsid w:val="001A429F"/>
    <w:rsid w:val="001A6185"/>
    <w:rsid w:val="001A652D"/>
    <w:rsid w:val="001A6F4D"/>
    <w:rsid w:val="001B1A9E"/>
    <w:rsid w:val="001B1EA8"/>
    <w:rsid w:val="001B2D39"/>
    <w:rsid w:val="001B4A70"/>
    <w:rsid w:val="001B57EE"/>
    <w:rsid w:val="001C2FD8"/>
    <w:rsid w:val="001C4F2C"/>
    <w:rsid w:val="001C5374"/>
    <w:rsid w:val="001D0E18"/>
    <w:rsid w:val="001D2305"/>
    <w:rsid w:val="001D351C"/>
    <w:rsid w:val="001D3AEA"/>
    <w:rsid w:val="001D4BFC"/>
    <w:rsid w:val="001F038C"/>
    <w:rsid w:val="001F1761"/>
    <w:rsid w:val="001F1878"/>
    <w:rsid w:val="001F27ED"/>
    <w:rsid w:val="001F2B8E"/>
    <w:rsid w:val="001F3998"/>
    <w:rsid w:val="001F5775"/>
    <w:rsid w:val="001F6B2F"/>
    <w:rsid w:val="001F7907"/>
    <w:rsid w:val="001F7EE7"/>
    <w:rsid w:val="002022AF"/>
    <w:rsid w:val="0021675B"/>
    <w:rsid w:val="002241FB"/>
    <w:rsid w:val="00224A85"/>
    <w:rsid w:val="002300AE"/>
    <w:rsid w:val="002301D5"/>
    <w:rsid w:val="00231B0A"/>
    <w:rsid w:val="00231C27"/>
    <w:rsid w:val="00240652"/>
    <w:rsid w:val="00241518"/>
    <w:rsid w:val="00243703"/>
    <w:rsid w:val="00247139"/>
    <w:rsid w:val="002476E4"/>
    <w:rsid w:val="00247A9F"/>
    <w:rsid w:val="00252ED1"/>
    <w:rsid w:val="00254660"/>
    <w:rsid w:val="002565D8"/>
    <w:rsid w:val="002570B4"/>
    <w:rsid w:val="00257239"/>
    <w:rsid w:val="00257327"/>
    <w:rsid w:val="00260214"/>
    <w:rsid w:val="00260B8F"/>
    <w:rsid w:val="00263749"/>
    <w:rsid w:val="00266B91"/>
    <w:rsid w:val="00270408"/>
    <w:rsid w:val="00271FD2"/>
    <w:rsid w:val="00277ED2"/>
    <w:rsid w:val="00282590"/>
    <w:rsid w:val="00284238"/>
    <w:rsid w:val="00285A05"/>
    <w:rsid w:val="0029029C"/>
    <w:rsid w:val="0029370D"/>
    <w:rsid w:val="00297648"/>
    <w:rsid w:val="002A131F"/>
    <w:rsid w:val="002A162D"/>
    <w:rsid w:val="002A34AB"/>
    <w:rsid w:val="002A48FE"/>
    <w:rsid w:val="002A4D80"/>
    <w:rsid w:val="002A7192"/>
    <w:rsid w:val="002B069A"/>
    <w:rsid w:val="002B3500"/>
    <w:rsid w:val="002B593F"/>
    <w:rsid w:val="002B6EB8"/>
    <w:rsid w:val="002B790C"/>
    <w:rsid w:val="002C3327"/>
    <w:rsid w:val="002C4B8B"/>
    <w:rsid w:val="002C54F3"/>
    <w:rsid w:val="002C5A49"/>
    <w:rsid w:val="002C6186"/>
    <w:rsid w:val="002C784A"/>
    <w:rsid w:val="002D26A6"/>
    <w:rsid w:val="002D7800"/>
    <w:rsid w:val="002E0076"/>
    <w:rsid w:val="002E4E35"/>
    <w:rsid w:val="002E6D60"/>
    <w:rsid w:val="002E7F20"/>
    <w:rsid w:val="002F1693"/>
    <w:rsid w:val="002F4EB3"/>
    <w:rsid w:val="002F5553"/>
    <w:rsid w:val="002F69F9"/>
    <w:rsid w:val="003004D5"/>
    <w:rsid w:val="00304A76"/>
    <w:rsid w:val="0030587C"/>
    <w:rsid w:val="00307CB6"/>
    <w:rsid w:val="0031041F"/>
    <w:rsid w:val="00312409"/>
    <w:rsid w:val="00314CDA"/>
    <w:rsid w:val="0032162D"/>
    <w:rsid w:val="00322347"/>
    <w:rsid w:val="00331EFF"/>
    <w:rsid w:val="00332713"/>
    <w:rsid w:val="00337E08"/>
    <w:rsid w:val="00342B35"/>
    <w:rsid w:val="00343D6B"/>
    <w:rsid w:val="003441EC"/>
    <w:rsid w:val="00344DB5"/>
    <w:rsid w:val="00345D18"/>
    <w:rsid w:val="003472C3"/>
    <w:rsid w:val="003516F4"/>
    <w:rsid w:val="003544DE"/>
    <w:rsid w:val="00357115"/>
    <w:rsid w:val="00360553"/>
    <w:rsid w:val="00367010"/>
    <w:rsid w:val="00367061"/>
    <w:rsid w:val="003672B6"/>
    <w:rsid w:val="00367A72"/>
    <w:rsid w:val="00372BD0"/>
    <w:rsid w:val="00377ECB"/>
    <w:rsid w:val="003847A7"/>
    <w:rsid w:val="0038695B"/>
    <w:rsid w:val="003903B0"/>
    <w:rsid w:val="003934D2"/>
    <w:rsid w:val="003A3818"/>
    <w:rsid w:val="003A3C41"/>
    <w:rsid w:val="003A4D10"/>
    <w:rsid w:val="003A5D34"/>
    <w:rsid w:val="003B07EA"/>
    <w:rsid w:val="003B3DD7"/>
    <w:rsid w:val="003B7263"/>
    <w:rsid w:val="003B77E5"/>
    <w:rsid w:val="003C2973"/>
    <w:rsid w:val="003C3221"/>
    <w:rsid w:val="003C36F3"/>
    <w:rsid w:val="003C520A"/>
    <w:rsid w:val="003C785C"/>
    <w:rsid w:val="003C7D04"/>
    <w:rsid w:val="003D28E3"/>
    <w:rsid w:val="003D3574"/>
    <w:rsid w:val="003D42F6"/>
    <w:rsid w:val="003D7FA3"/>
    <w:rsid w:val="003E08DC"/>
    <w:rsid w:val="003E0E79"/>
    <w:rsid w:val="003E21F1"/>
    <w:rsid w:val="003E400A"/>
    <w:rsid w:val="003E7B4A"/>
    <w:rsid w:val="003F02CE"/>
    <w:rsid w:val="003F09AF"/>
    <w:rsid w:val="003F0A50"/>
    <w:rsid w:val="003F7504"/>
    <w:rsid w:val="004021C2"/>
    <w:rsid w:val="00402657"/>
    <w:rsid w:val="00402AE9"/>
    <w:rsid w:val="00403360"/>
    <w:rsid w:val="00403B36"/>
    <w:rsid w:val="00403D6E"/>
    <w:rsid w:val="00405ECC"/>
    <w:rsid w:val="00413088"/>
    <w:rsid w:val="0042093F"/>
    <w:rsid w:val="00420DDC"/>
    <w:rsid w:val="0042205A"/>
    <w:rsid w:val="00432370"/>
    <w:rsid w:val="004343DA"/>
    <w:rsid w:val="00441982"/>
    <w:rsid w:val="004473E7"/>
    <w:rsid w:val="00452234"/>
    <w:rsid w:val="00453689"/>
    <w:rsid w:val="00457F4A"/>
    <w:rsid w:val="00462FC3"/>
    <w:rsid w:val="00467764"/>
    <w:rsid w:val="00470CE0"/>
    <w:rsid w:val="00472C19"/>
    <w:rsid w:val="004730D6"/>
    <w:rsid w:val="00473D95"/>
    <w:rsid w:val="00477FA4"/>
    <w:rsid w:val="00481B2C"/>
    <w:rsid w:val="004821F2"/>
    <w:rsid w:val="00482E83"/>
    <w:rsid w:val="00483E4E"/>
    <w:rsid w:val="00485D8C"/>
    <w:rsid w:val="00490B5F"/>
    <w:rsid w:val="004912A5"/>
    <w:rsid w:val="00491CA9"/>
    <w:rsid w:val="0049299D"/>
    <w:rsid w:val="004939AA"/>
    <w:rsid w:val="00494B80"/>
    <w:rsid w:val="00495A1E"/>
    <w:rsid w:val="004969E3"/>
    <w:rsid w:val="00496ECD"/>
    <w:rsid w:val="004A35B6"/>
    <w:rsid w:val="004A5C1A"/>
    <w:rsid w:val="004B4C99"/>
    <w:rsid w:val="004B7612"/>
    <w:rsid w:val="004C4B46"/>
    <w:rsid w:val="004D38C5"/>
    <w:rsid w:val="004E3622"/>
    <w:rsid w:val="004E5D10"/>
    <w:rsid w:val="004E75DA"/>
    <w:rsid w:val="004F1F48"/>
    <w:rsid w:val="004F4A08"/>
    <w:rsid w:val="004F5411"/>
    <w:rsid w:val="004F58CA"/>
    <w:rsid w:val="004F5A26"/>
    <w:rsid w:val="004F5A4F"/>
    <w:rsid w:val="0050088D"/>
    <w:rsid w:val="00502118"/>
    <w:rsid w:val="00504856"/>
    <w:rsid w:val="00505ABD"/>
    <w:rsid w:val="00512434"/>
    <w:rsid w:val="0051713C"/>
    <w:rsid w:val="00520DBC"/>
    <w:rsid w:val="00522C6C"/>
    <w:rsid w:val="00526332"/>
    <w:rsid w:val="00526A8D"/>
    <w:rsid w:val="00530A88"/>
    <w:rsid w:val="005319A7"/>
    <w:rsid w:val="0053302F"/>
    <w:rsid w:val="00535A99"/>
    <w:rsid w:val="00536AC1"/>
    <w:rsid w:val="00546D4E"/>
    <w:rsid w:val="005473E8"/>
    <w:rsid w:val="005477EC"/>
    <w:rsid w:val="0055165C"/>
    <w:rsid w:val="00551A56"/>
    <w:rsid w:val="00551BE6"/>
    <w:rsid w:val="0055211C"/>
    <w:rsid w:val="00552223"/>
    <w:rsid w:val="00557236"/>
    <w:rsid w:val="00560FDA"/>
    <w:rsid w:val="00563C06"/>
    <w:rsid w:val="00564843"/>
    <w:rsid w:val="0056606B"/>
    <w:rsid w:val="00566D00"/>
    <w:rsid w:val="005703FE"/>
    <w:rsid w:val="00570777"/>
    <w:rsid w:val="00570FD6"/>
    <w:rsid w:val="005729B8"/>
    <w:rsid w:val="00584182"/>
    <w:rsid w:val="00585F21"/>
    <w:rsid w:val="00587682"/>
    <w:rsid w:val="00591990"/>
    <w:rsid w:val="00597BC1"/>
    <w:rsid w:val="005A0318"/>
    <w:rsid w:val="005A0FDC"/>
    <w:rsid w:val="005A2F5F"/>
    <w:rsid w:val="005A3289"/>
    <w:rsid w:val="005B20E0"/>
    <w:rsid w:val="005B226F"/>
    <w:rsid w:val="005B4261"/>
    <w:rsid w:val="005B5597"/>
    <w:rsid w:val="005C2175"/>
    <w:rsid w:val="005C38A1"/>
    <w:rsid w:val="005C38B9"/>
    <w:rsid w:val="005C3F8E"/>
    <w:rsid w:val="005C43C1"/>
    <w:rsid w:val="005C4D4F"/>
    <w:rsid w:val="005C4FA2"/>
    <w:rsid w:val="005C5B74"/>
    <w:rsid w:val="005C61BF"/>
    <w:rsid w:val="005C78E7"/>
    <w:rsid w:val="005D164E"/>
    <w:rsid w:val="005D1978"/>
    <w:rsid w:val="005D1C59"/>
    <w:rsid w:val="005D7C1A"/>
    <w:rsid w:val="005F2E99"/>
    <w:rsid w:val="005F6BCF"/>
    <w:rsid w:val="006058FF"/>
    <w:rsid w:val="006073CA"/>
    <w:rsid w:val="006074F3"/>
    <w:rsid w:val="006078C7"/>
    <w:rsid w:val="00613925"/>
    <w:rsid w:val="00623180"/>
    <w:rsid w:val="006252EC"/>
    <w:rsid w:val="00632315"/>
    <w:rsid w:val="00634041"/>
    <w:rsid w:val="0063489D"/>
    <w:rsid w:val="00645FD3"/>
    <w:rsid w:val="00647FF8"/>
    <w:rsid w:val="00651BE6"/>
    <w:rsid w:val="0065368A"/>
    <w:rsid w:val="00653D6E"/>
    <w:rsid w:val="006572D0"/>
    <w:rsid w:val="006604D2"/>
    <w:rsid w:val="006634FD"/>
    <w:rsid w:val="0066721B"/>
    <w:rsid w:val="00667D18"/>
    <w:rsid w:val="00670EDE"/>
    <w:rsid w:val="00674C05"/>
    <w:rsid w:val="00676F3E"/>
    <w:rsid w:val="00677588"/>
    <w:rsid w:val="006800E4"/>
    <w:rsid w:val="0068101E"/>
    <w:rsid w:val="00684434"/>
    <w:rsid w:val="006933A6"/>
    <w:rsid w:val="00694923"/>
    <w:rsid w:val="006969C8"/>
    <w:rsid w:val="006A2178"/>
    <w:rsid w:val="006B4B1D"/>
    <w:rsid w:val="006B6D83"/>
    <w:rsid w:val="006B7F47"/>
    <w:rsid w:val="006C11E8"/>
    <w:rsid w:val="006C645A"/>
    <w:rsid w:val="006C7419"/>
    <w:rsid w:val="006D7CEF"/>
    <w:rsid w:val="006E0625"/>
    <w:rsid w:val="006E0DAA"/>
    <w:rsid w:val="006E3099"/>
    <w:rsid w:val="006E38AE"/>
    <w:rsid w:val="006E6A60"/>
    <w:rsid w:val="006F50C4"/>
    <w:rsid w:val="006F6957"/>
    <w:rsid w:val="007015EC"/>
    <w:rsid w:val="00704627"/>
    <w:rsid w:val="00705B77"/>
    <w:rsid w:val="00710D72"/>
    <w:rsid w:val="00711646"/>
    <w:rsid w:val="00716A79"/>
    <w:rsid w:val="00716C11"/>
    <w:rsid w:val="0072152A"/>
    <w:rsid w:val="0073248E"/>
    <w:rsid w:val="00732EC5"/>
    <w:rsid w:val="007357D5"/>
    <w:rsid w:val="0074166A"/>
    <w:rsid w:val="00741795"/>
    <w:rsid w:val="00747FB1"/>
    <w:rsid w:val="007550FC"/>
    <w:rsid w:val="007569F9"/>
    <w:rsid w:val="00760352"/>
    <w:rsid w:val="007617C8"/>
    <w:rsid w:val="00762E39"/>
    <w:rsid w:val="00764CCA"/>
    <w:rsid w:val="00765506"/>
    <w:rsid w:val="007706E7"/>
    <w:rsid w:val="00771859"/>
    <w:rsid w:val="00774994"/>
    <w:rsid w:val="0077675A"/>
    <w:rsid w:val="00777261"/>
    <w:rsid w:val="0077748F"/>
    <w:rsid w:val="00780AA8"/>
    <w:rsid w:val="00781964"/>
    <w:rsid w:val="00783548"/>
    <w:rsid w:val="00783912"/>
    <w:rsid w:val="00786884"/>
    <w:rsid w:val="0078714A"/>
    <w:rsid w:val="00791880"/>
    <w:rsid w:val="00794BDF"/>
    <w:rsid w:val="0079593A"/>
    <w:rsid w:val="007B16FC"/>
    <w:rsid w:val="007B19C3"/>
    <w:rsid w:val="007B2B47"/>
    <w:rsid w:val="007C144A"/>
    <w:rsid w:val="007C4417"/>
    <w:rsid w:val="007C4878"/>
    <w:rsid w:val="007C59C4"/>
    <w:rsid w:val="007C5C6B"/>
    <w:rsid w:val="007C5C7D"/>
    <w:rsid w:val="007D048E"/>
    <w:rsid w:val="007E7B1F"/>
    <w:rsid w:val="007F3E85"/>
    <w:rsid w:val="007F4B49"/>
    <w:rsid w:val="007F4CAA"/>
    <w:rsid w:val="007F4FEB"/>
    <w:rsid w:val="007F771B"/>
    <w:rsid w:val="00801EA3"/>
    <w:rsid w:val="0080570A"/>
    <w:rsid w:val="00805ADA"/>
    <w:rsid w:val="00805D67"/>
    <w:rsid w:val="00810DB4"/>
    <w:rsid w:val="00810E2A"/>
    <w:rsid w:val="00812613"/>
    <w:rsid w:val="00812D18"/>
    <w:rsid w:val="00814BED"/>
    <w:rsid w:val="00815A33"/>
    <w:rsid w:val="008168C6"/>
    <w:rsid w:val="00817912"/>
    <w:rsid w:val="00821711"/>
    <w:rsid w:val="00823B28"/>
    <w:rsid w:val="0082457E"/>
    <w:rsid w:val="0082719D"/>
    <w:rsid w:val="00827F75"/>
    <w:rsid w:val="00835854"/>
    <w:rsid w:val="00842C90"/>
    <w:rsid w:val="00843422"/>
    <w:rsid w:val="00844294"/>
    <w:rsid w:val="0084486D"/>
    <w:rsid w:val="008449E3"/>
    <w:rsid w:val="00847949"/>
    <w:rsid w:val="00852B22"/>
    <w:rsid w:val="00854CDE"/>
    <w:rsid w:val="0085768B"/>
    <w:rsid w:val="008577BD"/>
    <w:rsid w:val="00860DBB"/>
    <w:rsid w:val="008632A5"/>
    <w:rsid w:val="008649C1"/>
    <w:rsid w:val="00873940"/>
    <w:rsid w:val="0087574A"/>
    <w:rsid w:val="00880151"/>
    <w:rsid w:val="008819A0"/>
    <w:rsid w:val="00896C0E"/>
    <w:rsid w:val="00897B12"/>
    <w:rsid w:val="008A0302"/>
    <w:rsid w:val="008A1546"/>
    <w:rsid w:val="008A4DF9"/>
    <w:rsid w:val="008A7777"/>
    <w:rsid w:val="008A7C63"/>
    <w:rsid w:val="008B3CFA"/>
    <w:rsid w:val="008B70E4"/>
    <w:rsid w:val="008C0DB2"/>
    <w:rsid w:val="008C2482"/>
    <w:rsid w:val="008C5C48"/>
    <w:rsid w:val="008C7138"/>
    <w:rsid w:val="008D59D4"/>
    <w:rsid w:val="008D6BCF"/>
    <w:rsid w:val="008D7B30"/>
    <w:rsid w:val="008E324E"/>
    <w:rsid w:val="008E6FBC"/>
    <w:rsid w:val="008F033B"/>
    <w:rsid w:val="008F385F"/>
    <w:rsid w:val="00900335"/>
    <w:rsid w:val="00902916"/>
    <w:rsid w:val="00903B91"/>
    <w:rsid w:val="00903DB4"/>
    <w:rsid w:val="00904EAF"/>
    <w:rsid w:val="00907EFD"/>
    <w:rsid w:val="00912489"/>
    <w:rsid w:val="00913DEF"/>
    <w:rsid w:val="009156D6"/>
    <w:rsid w:val="00916460"/>
    <w:rsid w:val="00917017"/>
    <w:rsid w:val="00917A21"/>
    <w:rsid w:val="009209B1"/>
    <w:rsid w:val="00930CFF"/>
    <w:rsid w:val="00930E87"/>
    <w:rsid w:val="00933EFF"/>
    <w:rsid w:val="00934ADD"/>
    <w:rsid w:val="00940F71"/>
    <w:rsid w:val="00944E5E"/>
    <w:rsid w:val="00953E7B"/>
    <w:rsid w:val="009605BB"/>
    <w:rsid w:val="00960EAA"/>
    <w:rsid w:val="00962EDF"/>
    <w:rsid w:val="0096618D"/>
    <w:rsid w:val="00967201"/>
    <w:rsid w:val="00976E83"/>
    <w:rsid w:val="00986158"/>
    <w:rsid w:val="00990506"/>
    <w:rsid w:val="0099620C"/>
    <w:rsid w:val="009A273E"/>
    <w:rsid w:val="009A7002"/>
    <w:rsid w:val="009B742D"/>
    <w:rsid w:val="009C03A0"/>
    <w:rsid w:val="009C6322"/>
    <w:rsid w:val="009C6B6B"/>
    <w:rsid w:val="009C6C67"/>
    <w:rsid w:val="009D1160"/>
    <w:rsid w:val="009D12B5"/>
    <w:rsid w:val="009E06F9"/>
    <w:rsid w:val="009E1784"/>
    <w:rsid w:val="009E3C9F"/>
    <w:rsid w:val="009E5880"/>
    <w:rsid w:val="009E5CBB"/>
    <w:rsid w:val="009F1956"/>
    <w:rsid w:val="00A025C8"/>
    <w:rsid w:val="00A027F7"/>
    <w:rsid w:val="00A02ACB"/>
    <w:rsid w:val="00A060A7"/>
    <w:rsid w:val="00A10D97"/>
    <w:rsid w:val="00A12138"/>
    <w:rsid w:val="00A13587"/>
    <w:rsid w:val="00A17D66"/>
    <w:rsid w:val="00A21B48"/>
    <w:rsid w:val="00A26C09"/>
    <w:rsid w:val="00A32367"/>
    <w:rsid w:val="00A34E60"/>
    <w:rsid w:val="00A35923"/>
    <w:rsid w:val="00A365FB"/>
    <w:rsid w:val="00A37A5C"/>
    <w:rsid w:val="00A40867"/>
    <w:rsid w:val="00A457E1"/>
    <w:rsid w:val="00A50B66"/>
    <w:rsid w:val="00A515B6"/>
    <w:rsid w:val="00A54750"/>
    <w:rsid w:val="00A55B42"/>
    <w:rsid w:val="00A566EC"/>
    <w:rsid w:val="00A56C33"/>
    <w:rsid w:val="00A610C8"/>
    <w:rsid w:val="00A614EB"/>
    <w:rsid w:val="00A62D34"/>
    <w:rsid w:val="00A62F7F"/>
    <w:rsid w:val="00A639BF"/>
    <w:rsid w:val="00A76A77"/>
    <w:rsid w:val="00A80028"/>
    <w:rsid w:val="00A815C8"/>
    <w:rsid w:val="00A836E8"/>
    <w:rsid w:val="00A87ED9"/>
    <w:rsid w:val="00A9249E"/>
    <w:rsid w:val="00A93634"/>
    <w:rsid w:val="00A93FD8"/>
    <w:rsid w:val="00A9535A"/>
    <w:rsid w:val="00AA265B"/>
    <w:rsid w:val="00AA4362"/>
    <w:rsid w:val="00AA45D3"/>
    <w:rsid w:val="00AA49E0"/>
    <w:rsid w:val="00AA5BEA"/>
    <w:rsid w:val="00AB22CF"/>
    <w:rsid w:val="00AC3D03"/>
    <w:rsid w:val="00AC4C4A"/>
    <w:rsid w:val="00AC682A"/>
    <w:rsid w:val="00AD1A6F"/>
    <w:rsid w:val="00AD59B0"/>
    <w:rsid w:val="00AD5D12"/>
    <w:rsid w:val="00AD79E8"/>
    <w:rsid w:val="00AE0F02"/>
    <w:rsid w:val="00AE199A"/>
    <w:rsid w:val="00AE25E7"/>
    <w:rsid w:val="00AF19D5"/>
    <w:rsid w:val="00AF4392"/>
    <w:rsid w:val="00B01428"/>
    <w:rsid w:val="00B02E6C"/>
    <w:rsid w:val="00B04EAD"/>
    <w:rsid w:val="00B05CE2"/>
    <w:rsid w:val="00B1322D"/>
    <w:rsid w:val="00B14623"/>
    <w:rsid w:val="00B20BD2"/>
    <w:rsid w:val="00B21E1A"/>
    <w:rsid w:val="00B24D81"/>
    <w:rsid w:val="00B2508E"/>
    <w:rsid w:val="00B255E8"/>
    <w:rsid w:val="00B26CD3"/>
    <w:rsid w:val="00B27C47"/>
    <w:rsid w:val="00B32847"/>
    <w:rsid w:val="00B35A0E"/>
    <w:rsid w:val="00B35A20"/>
    <w:rsid w:val="00B4214A"/>
    <w:rsid w:val="00B425F8"/>
    <w:rsid w:val="00B43974"/>
    <w:rsid w:val="00B45067"/>
    <w:rsid w:val="00B51229"/>
    <w:rsid w:val="00B513B3"/>
    <w:rsid w:val="00B62AC1"/>
    <w:rsid w:val="00B64511"/>
    <w:rsid w:val="00B66A8B"/>
    <w:rsid w:val="00B66CE5"/>
    <w:rsid w:val="00B7228E"/>
    <w:rsid w:val="00B726E3"/>
    <w:rsid w:val="00B73BDF"/>
    <w:rsid w:val="00B76165"/>
    <w:rsid w:val="00B76BC8"/>
    <w:rsid w:val="00B77B17"/>
    <w:rsid w:val="00B8178E"/>
    <w:rsid w:val="00B877F4"/>
    <w:rsid w:val="00B90C75"/>
    <w:rsid w:val="00B9271C"/>
    <w:rsid w:val="00B94833"/>
    <w:rsid w:val="00B94B86"/>
    <w:rsid w:val="00B95F48"/>
    <w:rsid w:val="00BA09E9"/>
    <w:rsid w:val="00BA12A1"/>
    <w:rsid w:val="00BA2DFC"/>
    <w:rsid w:val="00BA469D"/>
    <w:rsid w:val="00BA66F2"/>
    <w:rsid w:val="00BB0444"/>
    <w:rsid w:val="00BB76B5"/>
    <w:rsid w:val="00BC2D7F"/>
    <w:rsid w:val="00BC3506"/>
    <w:rsid w:val="00BC384A"/>
    <w:rsid w:val="00BC71C9"/>
    <w:rsid w:val="00BD1905"/>
    <w:rsid w:val="00BD43B5"/>
    <w:rsid w:val="00BE0D1D"/>
    <w:rsid w:val="00BE6B91"/>
    <w:rsid w:val="00BF05C6"/>
    <w:rsid w:val="00BF3684"/>
    <w:rsid w:val="00BF5C55"/>
    <w:rsid w:val="00C00266"/>
    <w:rsid w:val="00C14920"/>
    <w:rsid w:val="00C16E4A"/>
    <w:rsid w:val="00C21654"/>
    <w:rsid w:val="00C23804"/>
    <w:rsid w:val="00C2555E"/>
    <w:rsid w:val="00C30BBB"/>
    <w:rsid w:val="00C34D20"/>
    <w:rsid w:val="00C34EC2"/>
    <w:rsid w:val="00C372B1"/>
    <w:rsid w:val="00C41F11"/>
    <w:rsid w:val="00C44AF9"/>
    <w:rsid w:val="00C44B82"/>
    <w:rsid w:val="00C46D05"/>
    <w:rsid w:val="00C50659"/>
    <w:rsid w:val="00C5148A"/>
    <w:rsid w:val="00C6215F"/>
    <w:rsid w:val="00C635E2"/>
    <w:rsid w:val="00C65705"/>
    <w:rsid w:val="00C663C6"/>
    <w:rsid w:val="00C73D6D"/>
    <w:rsid w:val="00C74132"/>
    <w:rsid w:val="00C75094"/>
    <w:rsid w:val="00C75B1A"/>
    <w:rsid w:val="00C76CE6"/>
    <w:rsid w:val="00C94872"/>
    <w:rsid w:val="00C966C0"/>
    <w:rsid w:val="00C96C1F"/>
    <w:rsid w:val="00CA0BA8"/>
    <w:rsid w:val="00CA2153"/>
    <w:rsid w:val="00CB120A"/>
    <w:rsid w:val="00CB1B00"/>
    <w:rsid w:val="00CB32A5"/>
    <w:rsid w:val="00CB3D37"/>
    <w:rsid w:val="00CB5BB7"/>
    <w:rsid w:val="00CB6295"/>
    <w:rsid w:val="00CC1901"/>
    <w:rsid w:val="00CD12AD"/>
    <w:rsid w:val="00CD2C20"/>
    <w:rsid w:val="00CD3EBA"/>
    <w:rsid w:val="00CE3117"/>
    <w:rsid w:val="00CE34F1"/>
    <w:rsid w:val="00CE5B19"/>
    <w:rsid w:val="00CF0B9D"/>
    <w:rsid w:val="00CF0C33"/>
    <w:rsid w:val="00CF1414"/>
    <w:rsid w:val="00CF3115"/>
    <w:rsid w:val="00CF3696"/>
    <w:rsid w:val="00CF4DED"/>
    <w:rsid w:val="00D030B9"/>
    <w:rsid w:val="00D036B3"/>
    <w:rsid w:val="00D03717"/>
    <w:rsid w:val="00D057AD"/>
    <w:rsid w:val="00D05A25"/>
    <w:rsid w:val="00D065CD"/>
    <w:rsid w:val="00D06945"/>
    <w:rsid w:val="00D14CED"/>
    <w:rsid w:val="00D163FE"/>
    <w:rsid w:val="00D24423"/>
    <w:rsid w:val="00D273C6"/>
    <w:rsid w:val="00D276D8"/>
    <w:rsid w:val="00D30BBF"/>
    <w:rsid w:val="00D322A9"/>
    <w:rsid w:val="00D326BB"/>
    <w:rsid w:val="00D32E88"/>
    <w:rsid w:val="00D365D9"/>
    <w:rsid w:val="00D37462"/>
    <w:rsid w:val="00D37D95"/>
    <w:rsid w:val="00D43A59"/>
    <w:rsid w:val="00D50587"/>
    <w:rsid w:val="00D506D8"/>
    <w:rsid w:val="00D56AE5"/>
    <w:rsid w:val="00D57DFF"/>
    <w:rsid w:val="00D64B34"/>
    <w:rsid w:val="00D652D0"/>
    <w:rsid w:val="00D669CE"/>
    <w:rsid w:val="00D7229F"/>
    <w:rsid w:val="00D84340"/>
    <w:rsid w:val="00D84A51"/>
    <w:rsid w:val="00D851EA"/>
    <w:rsid w:val="00D92AD6"/>
    <w:rsid w:val="00D93B0B"/>
    <w:rsid w:val="00D93EF5"/>
    <w:rsid w:val="00D94C47"/>
    <w:rsid w:val="00D94F8E"/>
    <w:rsid w:val="00D95D6B"/>
    <w:rsid w:val="00DA0614"/>
    <w:rsid w:val="00DA0971"/>
    <w:rsid w:val="00DA384F"/>
    <w:rsid w:val="00DA4BE0"/>
    <w:rsid w:val="00DA5576"/>
    <w:rsid w:val="00DB0D04"/>
    <w:rsid w:val="00DB304F"/>
    <w:rsid w:val="00DB499E"/>
    <w:rsid w:val="00DB5CD7"/>
    <w:rsid w:val="00DB7DE4"/>
    <w:rsid w:val="00DC2484"/>
    <w:rsid w:val="00DC7EA6"/>
    <w:rsid w:val="00DD25A9"/>
    <w:rsid w:val="00DD3EFB"/>
    <w:rsid w:val="00DD6A39"/>
    <w:rsid w:val="00DD7C21"/>
    <w:rsid w:val="00DE07C8"/>
    <w:rsid w:val="00DE2D04"/>
    <w:rsid w:val="00DE450A"/>
    <w:rsid w:val="00DE5D06"/>
    <w:rsid w:val="00DE7148"/>
    <w:rsid w:val="00DE7C0C"/>
    <w:rsid w:val="00DF221F"/>
    <w:rsid w:val="00DF42BB"/>
    <w:rsid w:val="00DF48C4"/>
    <w:rsid w:val="00DF7A12"/>
    <w:rsid w:val="00E0087F"/>
    <w:rsid w:val="00E04A12"/>
    <w:rsid w:val="00E06C2E"/>
    <w:rsid w:val="00E07D65"/>
    <w:rsid w:val="00E10917"/>
    <w:rsid w:val="00E12260"/>
    <w:rsid w:val="00E14C39"/>
    <w:rsid w:val="00E21471"/>
    <w:rsid w:val="00E23DF2"/>
    <w:rsid w:val="00E26C86"/>
    <w:rsid w:val="00E31EFD"/>
    <w:rsid w:val="00E354CF"/>
    <w:rsid w:val="00E362A3"/>
    <w:rsid w:val="00E37D90"/>
    <w:rsid w:val="00E41CDC"/>
    <w:rsid w:val="00E425C4"/>
    <w:rsid w:val="00E4624A"/>
    <w:rsid w:val="00E4702C"/>
    <w:rsid w:val="00E47302"/>
    <w:rsid w:val="00E5060A"/>
    <w:rsid w:val="00E53BB9"/>
    <w:rsid w:val="00E5671C"/>
    <w:rsid w:val="00E611EE"/>
    <w:rsid w:val="00E62AE2"/>
    <w:rsid w:val="00E6430D"/>
    <w:rsid w:val="00E6639A"/>
    <w:rsid w:val="00E66785"/>
    <w:rsid w:val="00E7245E"/>
    <w:rsid w:val="00E72509"/>
    <w:rsid w:val="00E81E6D"/>
    <w:rsid w:val="00E81E6F"/>
    <w:rsid w:val="00E832E7"/>
    <w:rsid w:val="00E83DC1"/>
    <w:rsid w:val="00E903BC"/>
    <w:rsid w:val="00E908AC"/>
    <w:rsid w:val="00E965CE"/>
    <w:rsid w:val="00E96AC3"/>
    <w:rsid w:val="00EA07D1"/>
    <w:rsid w:val="00EA0D18"/>
    <w:rsid w:val="00EA3DC8"/>
    <w:rsid w:val="00EA62A8"/>
    <w:rsid w:val="00EB0FEA"/>
    <w:rsid w:val="00EB2980"/>
    <w:rsid w:val="00EC098D"/>
    <w:rsid w:val="00EC6F91"/>
    <w:rsid w:val="00EC78AE"/>
    <w:rsid w:val="00ED1FF8"/>
    <w:rsid w:val="00ED40C0"/>
    <w:rsid w:val="00ED5EAF"/>
    <w:rsid w:val="00ED5F8E"/>
    <w:rsid w:val="00ED6488"/>
    <w:rsid w:val="00EE26AD"/>
    <w:rsid w:val="00EE4275"/>
    <w:rsid w:val="00EE5F54"/>
    <w:rsid w:val="00EE6D66"/>
    <w:rsid w:val="00EF254C"/>
    <w:rsid w:val="00EF2675"/>
    <w:rsid w:val="00EF4B85"/>
    <w:rsid w:val="00EF4EA6"/>
    <w:rsid w:val="00EF6ECF"/>
    <w:rsid w:val="00EF723D"/>
    <w:rsid w:val="00F02292"/>
    <w:rsid w:val="00F05706"/>
    <w:rsid w:val="00F058D1"/>
    <w:rsid w:val="00F108CB"/>
    <w:rsid w:val="00F114E5"/>
    <w:rsid w:val="00F12953"/>
    <w:rsid w:val="00F1523D"/>
    <w:rsid w:val="00F17155"/>
    <w:rsid w:val="00F20D7F"/>
    <w:rsid w:val="00F240D0"/>
    <w:rsid w:val="00F3316E"/>
    <w:rsid w:val="00F331CD"/>
    <w:rsid w:val="00F37AE8"/>
    <w:rsid w:val="00F42626"/>
    <w:rsid w:val="00F603DB"/>
    <w:rsid w:val="00F63D92"/>
    <w:rsid w:val="00F640C1"/>
    <w:rsid w:val="00F64318"/>
    <w:rsid w:val="00F65AF4"/>
    <w:rsid w:val="00F66525"/>
    <w:rsid w:val="00F66834"/>
    <w:rsid w:val="00F80592"/>
    <w:rsid w:val="00F87209"/>
    <w:rsid w:val="00F901D1"/>
    <w:rsid w:val="00F91F16"/>
    <w:rsid w:val="00F96DD1"/>
    <w:rsid w:val="00FA0264"/>
    <w:rsid w:val="00FA3394"/>
    <w:rsid w:val="00FA3E55"/>
    <w:rsid w:val="00FA3F47"/>
    <w:rsid w:val="00FB3B53"/>
    <w:rsid w:val="00FB41BB"/>
    <w:rsid w:val="00FB63C5"/>
    <w:rsid w:val="00FB79B2"/>
    <w:rsid w:val="00FC1109"/>
    <w:rsid w:val="00FC3BB7"/>
    <w:rsid w:val="00FC55FE"/>
    <w:rsid w:val="00FC73BA"/>
    <w:rsid w:val="00FD094B"/>
    <w:rsid w:val="00FD293F"/>
    <w:rsid w:val="00FD5657"/>
    <w:rsid w:val="00FE062B"/>
    <w:rsid w:val="00FF26DE"/>
    <w:rsid w:val="00FF4A28"/>
    <w:rsid w:val="00FF4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A8C52"/>
  <w15:docId w15:val="{40B8FE03-BA2E-4BDC-83BA-3C202EE56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C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1CDC"/>
    <w:pPr>
      <w:tabs>
        <w:tab w:val="center" w:pos="4844"/>
        <w:tab w:val="right" w:pos="9689"/>
      </w:tabs>
      <w:spacing w:after="0" w:line="240" w:lineRule="auto"/>
    </w:pPr>
  </w:style>
  <w:style w:type="character" w:customStyle="1" w:styleId="HeaderChar">
    <w:name w:val="Header Char"/>
    <w:basedOn w:val="DefaultParagraphFont"/>
    <w:link w:val="Header"/>
    <w:uiPriority w:val="99"/>
    <w:rsid w:val="00E41CDC"/>
  </w:style>
  <w:style w:type="paragraph" w:styleId="Footer">
    <w:name w:val="footer"/>
    <w:basedOn w:val="Normal"/>
    <w:link w:val="FooterChar"/>
    <w:uiPriority w:val="99"/>
    <w:unhideWhenUsed/>
    <w:rsid w:val="00E41CDC"/>
    <w:pPr>
      <w:tabs>
        <w:tab w:val="center" w:pos="4844"/>
        <w:tab w:val="right" w:pos="9689"/>
      </w:tabs>
      <w:spacing w:after="0" w:line="240" w:lineRule="auto"/>
    </w:pPr>
  </w:style>
  <w:style w:type="character" w:customStyle="1" w:styleId="FooterChar">
    <w:name w:val="Footer Char"/>
    <w:basedOn w:val="DefaultParagraphFont"/>
    <w:link w:val="Footer"/>
    <w:uiPriority w:val="99"/>
    <w:rsid w:val="00E41CDC"/>
  </w:style>
  <w:style w:type="paragraph" w:styleId="ListParagraph">
    <w:name w:val="List Paragraph"/>
    <w:basedOn w:val="Normal"/>
    <w:uiPriority w:val="34"/>
    <w:qFormat/>
    <w:rsid w:val="00E41CDC"/>
    <w:pPr>
      <w:spacing w:after="0" w:line="240" w:lineRule="auto"/>
      <w:ind w:left="720"/>
      <w:contextualSpacing/>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41CDC"/>
    <w:rPr>
      <w:sz w:val="16"/>
      <w:szCs w:val="16"/>
    </w:rPr>
  </w:style>
  <w:style w:type="paragraph" w:styleId="CommentText">
    <w:name w:val="annotation text"/>
    <w:basedOn w:val="Normal"/>
    <w:link w:val="CommentTextChar"/>
    <w:uiPriority w:val="99"/>
    <w:unhideWhenUsed/>
    <w:rsid w:val="00E41CDC"/>
    <w:pPr>
      <w:spacing w:line="240" w:lineRule="auto"/>
    </w:pPr>
    <w:rPr>
      <w:sz w:val="20"/>
      <w:szCs w:val="20"/>
    </w:rPr>
  </w:style>
  <w:style w:type="character" w:customStyle="1" w:styleId="CommentTextChar">
    <w:name w:val="Comment Text Char"/>
    <w:basedOn w:val="DefaultParagraphFont"/>
    <w:link w:val="CommentText"/>
    <w:uiPriority w:val="99"/>
    <w:rsid w:val="00E41CDC"/>
    <w:rPr>
      <w:sz w:val="20"/>
      <w:szCs w:val="20"/>
    </w:rPr>
  </w:style>
  <w:style w:type="paragraph" w:styleId="BalloonText">
    <w:name w:val="Balloon Text"/>
    <w:basedOn w:val="Normal"/>
    <w:link w:val="BalloonTextChar"/>
    <w:uiPriority w:val="99"/>
    <w:semiHidden/>
    <w:unhideWhenUsed/>
    <w:rsid w:val="00E41C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CDC"/>
    <w:rPr>
      <w:rFonts w:ascii="Segoe UI" w:hAnsi="Segoe UI" w:cs="Segoe UI"/>
      <w:sz w:val="18"/>
      <w:szCs w:val="18"/>
    </w:rPr>
  </w:style>
  <w:style w:type="paragraph" w:styleId="NormalWeb">
    <w:name w:val="Normal (Web)"/>
    <w:basedOn w:val="Normal"/>
    <w:uiPriority w:val="99"/>
    <w:unhideWhenUsed/>
    <w:rsid w:val="00116456"/>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DA0614"/>
    <w:rPr>
      <w:b/>
      <w:bCs/>
    </w:rPr>
  </w:style>
  <w:style w:type="character" w:customStyle="1" w:styleId="CommentSubjectChar">
    <w:name w:val="Comment Subject Char"/>
    <w:basedOn w:val="CommentTextChar"/>
    <w:link w:val="CommentSubject"/>
    <w:uiPriority w:val="99"/>
    <w:semiHidden/>
    <w:rsid w:val="00DA0614"/>
    <w:rPr>
      <w:b/>
      <w:bCs/>
      <w:sz w:val="20"/>
      <w:szCs w:val="20"/>
    </w:rPr>
  </w:style>
  <w:style w:type="paragraph" w:styleId="Revision">
    <w:name w:val="Revision"/>
    <w:hidden/>
    <w:uiPriority w:val="99"/>
    <w:semiHidden/>
    <w:rsid w:val="00E83DC1"/>
    <w:pPr>
      <w:spacing w:after="0" w:line="240" w:lineRule="auto"/>
    </w:pPr>
  </w:style>
  <w:style w:type="paragraph" w:customStyle="1" w:styleId="tt">
    <w:name w:val="tt"/>
    <w:basedOn w:val="Normal"/>
    <w:rsid w:val="00CF3115"/>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character" w:styleId="Strong">
    <w:name w:val="Strong"/>
    <w:basedOn w:val="DefaultParagraphFont"/>
    <w:uiPriority w:val="22"/>
    <w:qFormat/>
    <w:rsid w:val="00502118"/>
    <w:rPr>
      <w:b/>
      <w:bCs/>
    </w:rPr>
  </w:style>
  <w:style w:type="paragraph" w:customStyle="1" w:styleId="cp">
    <w:name w:val="cp"/>
    <w:basedOn w:val="Normal"/>
    <w:rsid w:val="000B7A3F"/>
    <w:pPr>
      <w:spacing w:before="100" w:beforeAutospacing="1" w:after="100" w:afterAutospacing="1" w:line="240" w:lineRule="auto"/>
    </w:pPr>
    <w:rPr>
      <w:rFonts w:ascii="Times New Roman" w:eastAsia="Times New Roman" w:hAnsi="Times New Roman" w:cs="Times New Roman"/>
      <w:sz w:val="24"/>
      <w:szCs w:val="24"/>
      <w:lang w:val="ro-MD" w:eastAsia="ro-MD"/>
    </w:rPr>
  </w:style>
  <w:style w:type="paragraph" w:styleId="Title">
    <w:name w:val="Title"/>
    <w:basedOn w:val="Normal"/>
    <w:next w:val="Normal"/>
    <w:link w:val="TitleChar"/>
    <w:uiPriority w:val="10"/>
    <w:qFormat/>
    <w:rsid w:val="009E06F9"/>
    <w:pPr>
      <w:spacing w:after="80" w:line="240" w:lineRule="auto"/>
      <w:contextualSpacing/>
    </w:pPr>
    <w:rPr>
      <w:rFonts w:asciiTheme="majorHAnsi" w:eastAsiaTheme="majorEastAsia" w:hAnsiTheme="majorHAnsi" w:cstheme="majorBidi"/>
      <w:spacing w:val="-10"/>
      <w:kern w:val="28"/>
      <w:sz w:val="56"/>
      <w:szCs w:val="56"/>
      <w:lang w:val="ro-MD"/>
      <w14:ligatures w14:val="standardContextual"/>
    </w:rPr>
  </w:style>
  <w:style w:type="character" w:customStyle="1" w:styleId="TitleChar">
    <w:name w:val="Title Char"/>
    <w:basedOn w:val="DefaultParagraphFont"/>
    <w:link w:val="Title"/>
    <w:uiPriority w:val="10"/>
    <w:rsid w:val="009E06F9"/>
    <w:rPr>
      <w:rFonts w:asciiTheme="majorHAnsi" w:eastAsiaTheme="majorEastAsia" w:hAnsiTheme="majorHAnsi" w:cstheme="majorBidi"/>
      <w:spacing w:val="-10"/>
      <w:kern w:val="28"/>
      <w:sz w:val="56"/>
      <w:szCs w:val="56"/>
      <w:lang w:val="ro-M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58026">
      <w:bodyDiv w:val="1"/>
      <w:marLeft w:val="0"/>
      <w:marRight w:val="0"/>
      <w:marTop w:val="0"/>
      <w:marBottom w:val="0"/>
      <w:divBdr>
        <w:top w:val="none" w:sz="0" w:space="0" w:color="auto"/>
        <w:left w:val="none" w:sz="0" w:space="0" w:color="auto"/>
        <w:bottom w:val="none" w:sz="0" w:space="0" w:color="auto"/>
        <w:right w:val="none" w:sz="0" w:space="0" w:color="auto"/>
      </w:divBdr>
    </w:div>
    <w:div w:id="253057095">
      <w:bodyDiv w:val="1"/>
      <w:marLeft w:val="0"/>
      <w:marRight w:val="0"/>
      <w:marTop w:val="0"/>
      <w:marBottom w:val="0"/>
      <w:divBdr>
        <w:top w:val="none" w:sz="0" w:space="0" w:color="auto"/>
        <w:left w:val="none" w:sz="0" w:space="0" w:color="auto"/>
        <w:bottom w:val="none" w:sz="0" w:space="0" w:color="auto"/>
        <w:right w:val="none" w:sz="0" w:space="0" w:color="auto"/>
      </w:divBdr>
    </w:div>
    <w:div w:id="302976920">
      <w:bodyDiv w:val="1"/>
      <w:marLeft w:val="0"/>
      <w:marRight w:val="0"/>
      <w:marTop w:val="0"/>
      <w:marBottom w:val="0"/>
      <w:divBdr>
        <w:top w:val="none" w:sz="0" w:space="0" w:color="auto"/>
        <w:left w:val="none" w:sz="0" w:space="0" w:color="auto"/>
        <w:bottom w:val="none" w:sz="0" w:space="0" w:color="auto"/>
        <w:right w:val="none" w:sz="0" w:space="0" w:color="auto"/>
      </w:divBdr>
    </w:div>
    <w:div w:id="337772785">
      <w:bodyDiv w:val="1"/>
      <w:marLeft w:val="0"/>
      <w:marRight w:val="0"/>
      <w:marTop w:val="0"/>
      <w:marBottom w:val="0"/>
      <w:divBdr>
        <w:top w:val="none" w:sz="0" w:space="0" w:color="auto"/>
        <w:left w:val="none" w:sz="0" w:space="0" w:color="auto"/>
        <w:bottom w:val="none" w:sz="0" w:space="0" w:color="auto"/>
        <w:right w:val="none" w:sz="0" w:space="0" w:color="auto"/>
      </w:divBdr>
    </w:div>
    <w:div w:id="360981746">
      <w:bodyDiv w:val="1"/>
      <w:marLeft w:val="0"/>
      <w:marRight w:val="0"/>
      <w:marTop w:val="0"/>
      <w:marBottom w:val="0"/>
      <w:divBdr>
        <w:top w:val="none" w:sz="0" w:space="0" w:color="auto"/>
        <w:left w:val="none" w:sz="0" w:space="0" w:color="auto"/>
        <w:bottom w:val="none" w:sz="0" w:space="0" w:color="auto"/>
        <w:right w:val="none" w:sz="0" w:space="0" w:color="auto"/>
      </w:divBdr>
    </w:div>
    <w:div w:id="365641161">
      <w:bodyDiv w:val="1"/>
      <w:marLeft w:val="0"/>
      <w:marRight w:val="0"/>
      <w:marTop w:val="0"/>
      <w:marBottom w:val="0"/>
      <w:divBdr>
        <w:top w:val="none" w:sz="0" w:space="0" w:color="auto"/>
        <w:left w:val="none" w:sz="0" w:space="0" w:color="auto"/>
        <w:bottom w:val="none" w:sz="0" w:space="0" w:color="auto"/>
        <w:right w:val="none" w:sz="0" w:space="0" w:color="auto"/>
      </w:divBdr>
    </w:div>
    <w:div w:id="376508179">
      <w:bodyDiv w:val="1"/>
      <w:marLeft w:val="0"/>
      <w:marRight w:val="0"/>
      <w:marTop w:val="0"/>
      <w:marBottom w:val="0"/>
      <w:divBdr>
        <w:top w:val="none" w:sz="0" w:space="0" w:color="auto"/>
        <w:left w:val="none" w:sz="0" w:space="0" w:color="auto"/>
        <w:bottom w:val="none" w:sz="0" w:space="0" w:color="auto"/>
        <w:right w:val="none" w:sz="0" w:space="0" w:color="auto"/>
      </w:divBdr>
    </w:div>
    <w:div w:id="808286813">
      <w:bodyDiv w:val="1"/>
      <w:marLeft w:val="0"/>
      <w:marRight w:val="0"/>
      <w:marTop w:val="0"/>
      <w:marBottom w:val="0"/>
      <w:divBdr>
        <w:top w:val="none" w:sz="0" w:space="0" w:color="auto"/>
        <w:left w:val="none" w:sz="0" w:space="0" w:color="auto"/>
        <w:bottom w:val="none" w:sz="0" w:space="0" w:color="auto"/>
        <w:right w:val="none" w:sz="0" w:space="0" w:color="auto"/>
      </w:divBdr>
    </w:div>
    <w:div w:id="836267213">
      <w:bodyDiv w:val="1"/>
      <w:marLeft w:val="0"/>
      <w:marRight w:val="0"/>
      <w:marTop w:val="0"/>
      <w:marBottom w:val="0"/>
      <w:divBdr>
        <w:top w:val="none" w:sz="0" w:space="0" w:color="auto"/>
        <w:left w:val="none" w:sz="0" w:space="0" w:color="auto"/>
        <w:bottom w:val="none" w:sz="0" w:space="0" w:color="auto"/>
        <w:right w:val="none" w:sz="0" w:space="0" w:color="auto"/>
      </w:divBdr>
    </w:div>
    <w:div w:id="1069112083">
      <w:bodyDiv w:val="1"/>
      <w:marLeft w:val="0"/>
      <w:marRight w:val="0"/>
      <w:marTop w:val="0"/>
      <w:marBottom w:val="0"/>
      <w:divBdr>
        <w:top w:val="none" w:sz="0" w:space="0" w:color="auto"/>
        <w:left w:val="none" w:sz="0" w:space="0" w:color="auto"/>
        <w:bottom w:val="none" w:sz="0" w:space="0" w:color="auto"/>
        <w:right w:val="none" w:sz="0" w:space="0" w:color="auto"/>
      </w:divBdr>
    </w:div>
    <w:div w:id="1136605139">
      <w:bodyDiv w:val="1"/>
      <w:marLeft w:val="0"/>
      <w:marRight w:val="0"/>
      <w:marTop w:val="0"/>
      <w:marBottom w:val="0"/>
      <w:divBdr>
        <w:top w:val="none" w:sz="0" w:space="0" w:color="auto"/>
        <w:left w:val="none" w:sz="0" w:space="0" w:color="auto"/>
        <w:bottom w:val="none" w:sz="0" w:space="0" w:color="auto"/>
        <w:right w:val="none" w:sz="0" w:space="0" w:color="auto"/>
      </w:divBdr>
    </w:div>
    <w:div w:id="1182815791">
      <w:bodyDiv w:val="1"/>
      <w:marLeft w:val="0"/>
      <w:marRight w:val="0"/>
      <w:marTop w:val="0"/>
      <w:marBottom w:val="0"/>
      <w:divBdr>
        <w:top w:val="none" w:sz="0" w:space="0" w:color="auto"/>
        <w:left w:val="none" w:sz="0" w:space="0" w:color="auto"/>
        <w:bottom w:val="none" w:sz="0" w:space="0" w:color="auto"/>
        <w:right w:val="none" w:sz="0" w:space="0" w:color="auto"/>
      </w:divBdr>
    </w:div>
    <w:div w:id="1200167850">
      <w:bodyDiv w:val="1"/>
      <w:marLeft w:val="0"/>
      <w:marRight w:val="0"/>
      <w:marTop w:val="0"/>
      <w:marBottom w:val="0"/>
      <w:divBdr>
        <w:top w:val="none" w:sz="0" w:space="0" w:color="auto"/>
        <w:left w:val="none" w:sz="0" w:space="0" w:color="auto"/>
        <w:bottom w:val="none" w:sz="0" w:space="0" w:color="auto"/>
        <w:right w:val="none" w:sz="0" w:space="0" w:color="auto"/>
      </w:divBdr>
    </w:div>
    <w:div w:id="1218014178">
      <w:bodyDiv w:val="1"/>
      <w:marLeft w:val="0"/>
      <w:marRight w:val="0"/>
      <w:marTop w:val="0"/>
      <w:marBottom w:val="0"/>
      <w:divBdr>
        <w:top w:val="none" w:sz="0" w:space="0" w:color="auto"/>
        <w:left w:val="none" w:sz="0" w:space="0" w:color="auto"/>
        <w:bottom w:val="none" w:sz="0" w:space="0" w:color="auto"/>
        <w:right w:val="none" w:sz="0" w:space="0" w:color="auto"/>
      </w:divBdr>
    </w:div>
    <w:div w:id="1279145682">
      <w:bodyDiv w:val="1"/>
      <w:marLeft w:val="0"/>
      <w:marRight w:val="0"/>
      <w:marTop w:val="0"/>
      <w:marBottom w:val="0"/>
      <w:divBdr>
        <w:top w:val="none" w:sz="0" w:space="0" w:color="auto"/>
        <w:left w:val="none" w:sz="0" w:space="0" w:color="auto"/>
        <w:bottom w:val="none" w:sz="0" w:space="0" w:color="auto"/>
        <w:right w:val="none" w:sz="0" w:space="0" w:color="auto"/>
      </w:divBdr>
    </w:div>
    <w:div w:id="1293365000">
      <w:bodyDiv w:val="1"/>
      <w:marLeft w:val="0"/>
      <w:marRight w:val="0"/>
      <w:marTop w:val="0"/>
      <w:marBottom w:val="0"/>
      <w:divBdr>
        <w:top w:val="none" w:sz="0" w:space="0" w:color="auto"/>
        <w:left w:val="none" w:sz="0" w:space="0" w:color="auto"/>
        <w:bottom w:val="none" w:sz="0" w:space="0" w:color="auto"/>
        <w:right w:val="none" w:sz="0" w:space="0" w:color="auto"/>
      </w:divBdr>
    </w:div>
    <w:div w:id="1346832342">
      <w:bodyDiv w:val="1"/>
      <w:marLeft w:val="0"/>
      <w:marRight w:val="0"/>
      <w:marTop w:val="0"/>
      <w:marBottom w:val="0"/>
      <w:divBdr>
        <w:top w:val="none" w:sz="0" w:space="0" w:color="auto"/>
        <w:left w:val="none" w:sz="0" w:space="0" w:color="auto"/>
        <w:bottom w:val="none" w:sz="0" w:space="0" w:color="auto"/>
        <w:right w:val="none" w:sz="0" w:space="0" w:color="auto"/>
      </w:divBdr>
    </w:div>
    <w:div w:id="1385717084">
      <w:bodyDiv w:val="1"/>
      <w:marLeft w:val="0"/>
      <w:marRight w:val="0"/>
      <w:marTop w:val="0"/>
      <w:marBottom w:val="0"/>
      <w:divBdr>
        <w:top w:val="none" w:sz="0" w:space="0" w:color="auto"/>
        <w:left w:val="none" w:sz="0" w:space="0" w:color="auto"/>
        <w:bottom w:val="none" w:sz="0" w:space="0" w:color="auto"/>
        <w:right w:val="none" w:sz="0" w:space="0" w:color="auto"/>
      </w:divBdr>
    </w:div>
    <w:div w:id="1602958414">
      <w:bodyDiv w:val="1"/>
      <w:marLeft w:val="0"/>
      <w:marRight w:val="0"/>
      <w:marTop w:val="0"/>
      <w:marBottom w:val="0"/>
      <w:divBdr>
        <w:top w:val="none" w:sz="0" w:space="0" w:color="auto"/>
        <w:left w:val="none" w:sz="0" w:space="0" w:color="auto"/>
        <w:bottom w:val="none" w:sz="0" w:space="0" w:color="auto"/>
        <w:right w:val="none" w:sz="0" w:space="0" w:color="auto"/>
      </w:divBdr>
    </w:div>
    <w:div w:id="1924878194">
      <w:bodyDiv w:val="1"/>
      <w:marLeft w:val="0"/>
      <w:marRight w:val="0"/>
      <w:marTop w:val="0"/>
      <w:marBottom w:val="0"/>
      <w:divBdr>
        <w:top w:val="none" w:sz="0" w:space="0" w:color="auto"/>
        <w:left w:val="none" w:sz="0" w:space="0" w:color="auto"/>
        <w:bottom w:val="none" w:sz="0" w:space="0" w:color="auto"/>
        <w:right w:val="none" w:sz="0" w:space="0" w:color="auto"/>
      </w:divBdr>
    </w:div>
    <w:div w:id="2059277412">
      <w:bodyDiv w:val="1"/>
      <w:marLeft w:val="0"/>
      <w:marRight w:val="0"/>
      <w:marTop w:val="0"/>
      <w:marBottom w:val="0"/>
      <w:divBdr>
        <w:top w:val="none" w:sz="0" w:space="0" w:color="auto"/>
        <w:left w:val="none" w:sz="0" w:space="0" w:color="auto"/>
        <w:bottom w:val="none" w:sz="0" w:space="0" w:color="auto"/>
        <w:right w:val="none" w:sz="0" w:space="0" w:color="auto"/>
      </w:divBdr>
    </w:div>
    <w:div w:id="2067532988">
      <w:bodyDiv w:val="1"/>
      <w:marLeft w:val="0"/>
      <w:marRight w:val="0"/>
      <w:marTop w:val="0"/>
      <w:marBottom w:val="0"/>
      <w:divBdr>
        <w:top w:val="none" w:sz="0" w:space="0" w:color="auto"/>
        <w:left w:val="none" w:sz="0" w:space="0" w:color="auto"/>
        <w:bottom w:val="none" w:sz="0" w:space="0" w:color="auto"/>
        <w:right w:val="none" w:sz="0" w:space="0" w:color="auto"/>
      </w:divBdr>
    </w:div>
    <w:div w:id="2126384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8682DF9844FC49B8FF3AF7C34ED014" ma:contentTypeVersion="2" ma:contentTypeDescription="Create a new document." ma:contentTypeScope="" ma:versionID="bbdf259c7c84e21bd653e0047cb196e9">
  <xsd:schema xmlns:xsd="http://www.w3.org/2001/XMLSchema" xmlns:xs="http://www.w3.org/2001/XMLSchema" xmlns:p="http://schemas.microsoft.com/office/2006/metadata/properties" xmlns:ns2="95f4b69a-0cd0-4460-9690-b9cfe6860272" targetNamespace="http://schemas.microsoft.com/office/2006/metadata/properties" ma:root="true" ma:fieldsID="2e782f88f879658fa13e1c0d3e1bab4a" ns2:_="">
    <xsd:import namespace="95f4b69a-0cd0-4460-9690-b9cfe686027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f4b69a-0cd0-4460-9690-b9cfe686027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itus xmlns="http://schemas.titus.com/TitusProperties/">
  <TitusGUID xmlns="">24f5817e-b004-4748-a55a-d7dec64548b2</TitusGUID>
  <TitusMetadata xmlns="">eyJucyI6IioiLCJwcm9wcyI6W3sibiI6IkNsYXNpZmljYXJlIiwidmFscyI6W3sidmFsdWUiOiJTUC0yIn1dfV19</TitusMetadata>
</titu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C5019-EF01-4312-93C8-02D3EDA054B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73D671-8A39-4C81-AAD2-95BC667C3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f4b69a-0cd0-4460-9690-b9cfe6860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8992EB-AE41-4E78-B1BB-0A9F50B73626}">
  <ds:schemaRefs>
    <ds:schemaRef ds:uri="http://schemas.titus.com/TitusProperties/"/>
    <ds:schemaRef ds:uri=""/>
  </ds:schemaRefs>
</ds:datastoreItem>
</file>

<file path=customXml/itemProps4.xml><?xml version="1.0" encoding="utf-8"?>
<ds:datastoreItem xmlns:ds="http://schemas.openxmlformats.org/officeDocument/2006/customXml" ds:itemID="{775A9795-3F89-4041-B366-1258CAB1DC43}">
  <ds:schemaRefs>
    <ds:schemaRef ds:uri="http://schemas.microsoft.com/sharepoint/v3/contenttype/forms"/>
  </ds:schemaRefs>
</ds:datastoreItem>
</file>

<file path=customXml/itemProps5.xml><?xml version="1.0" encoding="utf-8"?>
<ds:datastoreItem xmlns:ds="http://schemas.openxmlformats.org/officeDocument/2006/customXml" ds:itemID="{247A205B-EE6A-488F-A187-B7F35081D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2273</Words>
  <Characters>13190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2026-09-21T07:12:00Z</dcterms:created>
  <cp:lastPrinted>2023-08-17T09:42:00Z</cp:lastPrinted>
  <dcterms:modified xsi:type="dcterms:W3CDTF">2026-09-21T07:33:00Z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24f5817e-b004-4748-a55a-d7dec64548b2</vt:lpwstr>
  </property>
  <property fmtid="{D5CDD505-2E9C-101B-9397-08002B2CF9AE}" pid="3" name="ContentTypeId">
    <vt:lpwstr>0x010100958682DF9844FC49B8FF3AF7C34ED014</vt:lpwstr>
  </property>
  <property fmtid="{D5CDD505-2E9C-101B-9397-08002B2CF9AE}" pid="4" name="Clasificare">
    <vt:lpwstr>SP-2</vt:lpwstr>
  </property>
  <property fmtid="{D5CDD505-2E9C-101B-9397-08002B2CF9AE}" pid="5" name="MSIP_Label_38962dcf-d39f-4edc-a396-338a56ba9170_Enabled">
    <vt:lpwstr>true</vt:lpwstr>
  </property>
  <property fmtid="{D5CDD505-2E9C-101B-9397-08002B2CF9AE}" pid="6" name="MSIP_Label_38962dcf-d39f-4edc-a396-338a56ba9170_SetDate">
    <vt:lpwstr>2025-10-08T06:41:39Z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4f64fd49-3c2a-4326-91f8-8357aa8683d6</vt:lpwstr>
  </property>
  <property fmtid="{D5CDD505-2E9C-101B-9397-08002B2CF9AE}" pid="11" name="MSIP_Label_38962dcf-d39f-4edc-a396-338a56ba9170_ContentBits">
    <vt:lpwstr>0</vt:lpwstr>
  </property>
</Properties>
</file>